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91" w:rsidRDefault="00235D91" w:rsidP="00235D91">
      <w:pPr>
        <w:jc w:val="center"/>
      </w:pPr>
      <w:r w:rsidRPr="00941575">
        <w:rPr>
          <w:noProof/>
          <w:lang w:eastAsia="it-IT"/>
        </w:rPr>
        <w:drawing>
          <wp:inline distT="0" distB="0" distL="0" distR="0">
            <wp:extent cx="533400" cy="742950"/>
            <wp:effectExtent l="0" t="0" r="0" b="0"/>
            <wp:docPr id="2" name="Immagine 2" descr="Comune di Selarg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Selargiu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742950"/>
                    </a:xfrm>
                    <a:prstGeom prst="rect">
                      <a:avLst/>
                    </a:prstGeom>
                    <a:noFill/>
                    <a:ln>
                      <a:noFill/>
                    </a:ln>
                  </pic:spPr>
                </pic:pic>
              </a:graphicData>
            </a:graphic>
          </wp:inline>
        </w:drawing>
      </w:r>
    </w:p>
    <w:p w:rsidR="00235D91" w:rsidRDefault="00235D91" w:rsidP="00235D91">
      <w:pPr>
        <w:jc w:val="center"/>
      </w:pPr>
      <w:r>
        <w:t>COMUNE DI SELARGIUS</w:t>
      </w:r>
    </w:p>
    <w:p w:rsidR="00235D91" w:rsidRDefault="00235D91" w:rsidP="00235D91">
      <w:pPr>
        <w:jc w:val="center"/>
      </w:pPr>
      <w:r>
        <w:t>CITTA’ METROPOLITANA DI CAGLIARI</w:t>
      </w:r>
    </w:p>
    <w:p w:rsidR="00235D91" w:rsidRDefault="00235D91" w:rsidP="00235D91">
      <w:pPr>
        <w:jc w:val="center"/>
      </w:pPr>
    </w:p>
    <w:p w:rsidR="00235D91" w:rsidRPr="00852CE7" w:rsidRDefault="00B149F1" w:rsidP="00235D91">
      <w:pPr>
        <w:ind w:left="6372"/>
        <w:jc w:val="both"/>
        <w:rPr>
          <w:b/>
          <w:i/>
        </w:rPr>
      </w:pPr>
      <w:r w:rsidRPr="00852CE7">
        <w:rPr>
          <w:b/>
          <w:i/>
        </w:rPr>
        <w:t xml:space="preserve">Parere n. </w:t>
      </w:r>
      <w:r w:rsidR="00ED0821">
        <w:rPr>
          <w:b/>
          <w:i/>
        </w:rPr>
        <w:t>7</w:t>
      </w:r>
      <w:r w:rsidRPr="00852CE7">
        <w:rPr>
          <w:b/>
          <w:i/>
        </w:rPr>
        <w:t xml:space="preserve"> </w:t>
      </w:r>
      <w:r w:rsidR="006243C2" w:rsidRPr="00852CE7">
        <w:rPr>
          <w:b/>
          <w:i/>
        </w:rPr>
        <w:t xml:space="preserve"> del </w:t>
      </w:r>
      <w:r w:rsidR="0016565F">
        <w:rPr>
          <w:b/>
          <w:i/>
        </w:rPr>
        <w:t>17</w:t>
      </w:r>
      <w:r w:rsidR="00ED0821">
        <w:rPr>
          <w:b/>
          <w:i/>
        </w:rPr>
        <w:t xml:space="preserve"> marzo </w:t>
      </w:r>
      <w:r w:rsidR="00235D91" w:rsidRPr="00852CE7">
        <w:rPr>
          <w:b/>
          <w:i/>
        </w:rPr>
        <w:t xml:space="preserve"> 20</w:t>
      </w:r>
      <w:r w:rsidR="00ED0821">
        <w:rPr>
          <w:b/>
          <w:i/>
        </w:rPr>
        <w:t>20</w:t>
      </w:r>
    </w:p>
    <w:p w:rsidR="006243C2" w:rsidRPr="00852CE7" w:rsidRDefault="006243C2" w:rsidP="006243C2">
      <w:pPr>
        <w:jc w:val="center"/>
        <w:rPr>
          <w:rFonts w:asciiTheme="minorHAnsi" w:hAnsiTheme="minorHAnsi" w:cstheme="minorHAnsi"/>
          <w:sz w:val="24"/>
          <w:szCs w:val="24"/>
        </w:rPr>
      </w:pPr>
      <w:r w:rsidRPr="00852CE7">
        <w:rPr>
          <w:rFonts w:asciiTheme="minorHAnsi" w:hAnsiTheme="minorHAnsi" w:cstheme="minorHAnsi"/>
          <w:b/>
          <w:bCs/>
          <w:sz w:val="24"/>
          <w:szCs w:val="24"/>
        </w:rPr>
        <w:t>Oggetto:</w:t>
      </w:r>
      <w:r w:rsidRPr="00852CE7">
        <w:rPr>
          <w:rFonts w:asciiTheme="minorHAnsi" w:hAnsiTheme="minorHAnsi" w:cstheme="minorHAnsi"/>
          <w:sz w:val="24"/>
          <w:szCs w:val="24"/>
        </w:rPr>
        <w:t xml:space="preserve"> Parere sul riaccertamento ordinario dei residui anno 201</w:t>
      </w:r>
      <w:r w:rsidR="00ED0821">
        <w:rPr>
          <w:rFonts w:asciiTheme="minorHAnsi" w:hAnsiTheme="minorHAnsi" w:cstheme="minorHAnsi"/>
          <w:sz w:val="24"/>
          <w:szCs w:val="24"/>
        </w:rPr>
        <w:t>9</w:t>
      </w:r>
    </w:p>
    <w:p w:rsidR="00235D91" w:rsidRDefault="006243C2" w:rsidP="00235D91">
      <w:pPr>
        <w:jc w:val="both"/>
      </w:pPr>
      <w:r w:rsidRPr="00852CE7">
        <w:t>L’anno 20</w:t>
      </w:r>
      <w:r w:rsidR="007D1FC9">
        <w:t>20</w:t>
      </w:r>
      <w:r w:rsidRPr="00852CE7">
        <w:t xml:space="preserve"> il giorno </w:t>
      </w:r>
      <w:r w:rsidR="0016565F">
        <w:t>17</w:t>
      </w:r>
      <w:r w:rsidR="00852CE7">
        <w:t xml:space="preserve"> </w:t>
      </w:r>
      <w:r w:rsidR="00235D91" w:rsidRPr="00852CE7">
        <w:t xml:space="preserve">del mese di </w:t>
      </w:r>
      <w:r w:rsidR="007D1FC9">
        <w:t xml:space="preserve">marzo </w:t>
      </w:r>
      <w:r w:rsidR="00235D91" w:rsidRPr="00852CE7">
        <w:t>si è riunito il Collegio dei Revisori nominato dal Consiglio Comunale con propria deliberazione n. 4 del 19 Marzo 2019, esecutiva e composto da:</w:t>
      </w:r>
    </w:p>
    <w:p w:rsidR="00235D91" w:rsidRDefault="00235D91" w:rsidP="00235D91">
      <w:pPr>
        <w:pStyle w:val="Paragrafoelenco"/>
        <w:numPr>
          <w:ilvl w:val="0"/>
          <w:numId w:val="8"/>
        </w:numPr>
        <w:jc w:val="both"/>
      </w:pPr>
      <w:r>
        <w:t>Rag. Guido Calì – Presidente</w:t>
      </w:r>
    </w:p>
    <w:p w:rsidR="00235D91" w:rsidRDefault="00235D91" w:rsidP="00235D91">
      <w:pPr>
        <w:pStyle w:val="Paragrafoelenco"/>
        <w:numPr>
          <w:ilvl w:val="0"/>
          <w:numId w:val="8"/>
        </w:numPr>
        <w:jc w:val="both"/>
      </w:pPr>
      <w:r>
        <w:t>Dott. Gian Luca Zicca – Componente</w:t>
      </w:r>
    </w:p>
    <w:p w:rsidR="00235D91" w:rsidRDefault="00235D91" w:rsidP="00235D91">
      <w:pPr>
        <w:pStyle w:val="Paragrafoelenco"/>
        <w:numPr>
          <w:ilvl w:val="0"/>
          <w:numId w:val="8"/>
        </w:numPr>
        <w:jc w:val="both"/>
      </w:pPr>
      <w:r>
        <w:t>Dott.ssa Monia Ibba – Componente</w:t>
      </w:r>
    </w:p>
    <w:p w:rsidR="00552F7C" w:rsidRDefault="00FD4F24">
      <w:pPr>
        <w:rPr>
          <w:rFonts w:asciiTheme="minorHAnsi" w:hAnsiTheme="minorHAnsi" w:cstheme="minorHAnsi"/>
        </w:rPr>
      </w:pPr>
      <w:r>
        <w:rPr>
          <w:rFonts w:asciiTheme="minorHAnsi" w:hAnsiTheme="minorHAnsi" w:cstheme="minorHAnsi"/>
        </w:rPr>
        <w:t xml:space="preserve">Ricevuto la proposta di deliberazione di Giunta </w:t>
      </w:r>
      <w:r w:rsidR="000F53F6">
        <w:rPr>
          <w:rFonts w:asciiTheme="minorHAnsi" w:hAnsiTheme="minorHAnsi" w:cstheme="minorHAnsi"/>
        </w:rPr>
        <w:t>n.</w:t>
      </w:r>
      <w:r w:rsidR="007D1FC9">
        <w:rPr>
          <w:rFonts w:asciiTheme="minorHAnsi" w:hAnsiTheme="minorHAnsi" w:cstheme="minorHAnsi"/>
        </w:rPr>
        <w:t>62</w:t>
      </w:r>
      <w:r w:rsidR="000F53F6">
        <w:rPr>
          <w:rFonts w:asciiTheme="minorHAnsi" w:hAnsiTheme="minorHAnsi" w:cstheme="minorHAnsi"/>
        </w:rPr>
        <w:t xml:space="preserve">  e del</w:t>
      </w:r>
      <w:r w:rsidR="007D1FC9">
        <w:rPr>
          <w:rFonts w:asciiTheme="minorHAnsi" w:hAnsiTheme="minorHAnsi" w:cstheme="minorHAnsi"/>
        </w:rPr>
        <w:t xml:space="preserve"> 28.02.2020</w:t>
      </w:r>
      <w:r w:rsidR="000F53F6">
        <w:rPr>
          <w:rFonts w:asciiTheme="minorHAnsi" w:hAnsiTheme="minorHAnsi" w:cstheme="minorHAnsi"/>
        </w:rPr>
        <w:t xml:space="preserve">  </w:t>
      </w:r>
      <w:r>
        <w:rPr>
          <w:rFonts w:asciiTheme="minorHAnsi" w:hAnsiTheme="minorHAnsi" w:cstheme="minorHAnsi"/>
        </w:rPr>
        <w:t xml:space="preserve">di “Riaccertamento ordinario dei residui”. </w:t>
      </w:r>
    </w:p>
    <w:p w:rsidR="00552F7C" w:rsidRDefault="00FD4F24">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Tenuto conto che:</w:t>
      </w:r>
    </w:p>
    <w:p w:rsidR="00552F7C" w:rsidRDefault="00552F7C">
      <w:pPr>
        <w:autoSpaceDE w:val="0"/>
        <w:autoSpaceDN w:val="0"/>
        <w:adjustRightInd w:val="0"/>
        <w:spacing w:after="0" w:line="240" w:lineRule="auto"/>
        <w:jc w:val="both"/>
        <w:rPr>
          <w:rFonts w:asciiTheme="minorHAnsi" w:hAnsiTheme="minorHAnsi" w:cstheme="minorHAnsi"/>
        </w:rPr>
      </w:pPr>
    </w:p>
    <w:p w:rsidR="00552F7C" w:rsidRDefault="00FD4F24">
      <w:pPr>
        <w:pStyle w:val="Paragrafoelenco"/>
        <w:numPr>
          <w:ilvl w:val="0"/>
          <w:numId w:val="2"/>
        </w:numPr>
        <w:autoSpaceDE w:val="0"/>
        <w:autoSpaceDN w:val="0"/>
        <w:adjustRightInd w:val="0"/>
        <w:spacing w:after="0" w:line="240" w:lineRule="auto"/>
        <w:jc w:val="both"/>
        <w:rPr>
          <w:rFonts w:asciiTheme="minorHAnsi" w:hAnsiTheme="minorHAnsi" w:cstheme="minorHAnsi"/>
          <w:lang w:eastAsia="it-IT"/>
        </w:rPr>
      </w:pPr>
      <w:r>
        <w:rPr>
          <w:rFonts w:asciiTheme="minorHAnsi" w:hAnsiTheme="minorHAnsi" w:cstheme="minorHAnsi"/>
        </w:rPr>
        <w:t>l’articolo art. 3, comma 4, D.Lgs 118/2011 prevede che: «</w:t>
      </w:r>
      <w:r>
        <w:rPr>
          <w:rFonts w:asciiTheme="minorHAnsi" w:hAnsiTheme="minorHAnsi" w:cstheme="minorHAnsi"/>
          <w:i/>
          <w:lang w:eastAsia="it-IT"/>
        </w:rPr>
        <w:t>Al fine di dare attuazione al principio contabile generale della competenza finanziaria enunciato nell’allegato 1, gli enti di cui al comma 1 provvedono, annualmente, al riaccertamento dei residui attivi e passivi, verificando, ai fini del rendiconto, le ragioni del loro mantenimento</w:t>
      </w:r>
      <w:r>
        <w:rPr>
          <w:rFonts w:asciiTheme="minorHAnsi" w:hAnsiTheme="minorHAnsi" w:cstheme="minorHAnsi"/>
          <w:lang w:eastAsia="it-IT"/>
        </w:rPr>
        <w:t>»;</w:t>
      </w:r>
    </w:p>
    <w:p w:rsidR="00552F7C" w:rsidRDefault="00552F7C">
      <w:pPr>
        <w:pStyle w:val="Paragrafoelenco"/>
        <w:autoSpaceDE w:val="0"/>
        <w:autoSpaceDN w:val="0"/>
        <w:adjustRightInd w:val="0"/>
        <w:spacing w:after="0" w:line="240" w:lineRule="auto"/>
        <w:jc w:val="both"/>
        <w:rPr>
          <w:rFonts w:asciiTheme="minorHAnsi" w:hAnsiTheme="minorHAnsi" w:cstheme="minorHAnsi"/>
          <w:lang w:eastAsia="it-IT"/>
        </w:rPr>
      </w:pPr>
    </w:p>
    <w:p w:rsidR="00552F7C" w:rsidRDefault="00FD4F24">
      <w:pPr>
        <w:pStyle w:val="Paragrafoelenco"/>
        <w:numPr>
          <w:ilvl w:val="0"/>
          <w:numId w:val="2"/>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il principio contabile applicato 4/2, al punto 9.1, prevede che: </w:t>
      </w:r>
      <w:r>
        <w:rPr>
          <w:rFonts w:asciiTheme="minorHAnsi" w:hAnsiTheme="minorHAnsi" w:cstheme="minorHAnsi"/>
          <w:i/>
        </w:rPr>
        <w:t>«Il riaccertamento ordinario dei residui trova specifica evidenza nel rendiconto finanziario, ed è effettuato annualmente, con un’unica deliberazione della giunta, previa acquisizione del parere dell’organo di revisione, in vista dell’approvazione del rendiconto»;</w:t>
      </w:r>
      <w:r>
        <w:rPr>
          <w:rFonts w:asciiTheme="minorHAnsi" w:hAnsiTheme="minorHAnsi" w:cstheme="minorHAnsi"/>
        </w:rPr>
        <w:t xml:space="preserve"> </w:t>
      </w:r>
    </w:p>
    <w:p w:rsidR="00552F7C" w:rsidRDefault="00552F7C">
      <w:pPr>
        <w:autoSpaceDE w:val="0"/>
        <w:autoSpaceDN w:val="0"/>
        <w:adjustRightInd w:val="0"/>
        <w:spacing w:after="0" w:line="240" w:lineRule="auto"/>
        <w:jc w:val="both"/>
        <w:rPr>
          <w:rFonts w:asciiTheme="minorHAnsi" w:hAnsiTheme="minorHAnsi" w:cstheme="minorHAnsi"/>
        </w:rPr>
      </w:pPr>
    </w:p>
    <w:p w:rsidR="00552F7C" w:rsidRDefault="00FD4F24">
      <w:pPr>
        <w:pStyle w:val="Paragrafoelenco"/>
        <w:numPr>
          <w:ilvl w:val="0"/>
          <w:numId w:val="2"/>
        </w:numPr>
        <w:jc w:val="both"/>
        <w:rPr>
          <w:rFonts w:asciiTheme="minorHAnsi" w:hAnsiTheme="minorHAnsi" w:cstheme="minorHAnsi"/>
          <w:i/>
        </w:rPr>
      </w:pPr>
      <w:r>
        <w:rPr>
          <w:rFonts w:asciiTheme="minorHAnsi" w:hAnsiTheme="minorHAnsi" w:cstheme="minorHAnsi"/>
        </w:rPr>
        <w:t xml:space="preserve">il citato articolo art. 3 comma 4, stabilisce le seguenti regole per la conservazione dei residui e per la reimputazione di accertamenti ed impegni: </w:t>
      </w:r>
      <w:r>
        <w:rPr>
          <w:rFonts w:asciiTheme="minorHAnsi" w:hAnsiTheme="minorHAnsi" w:cstheme="minorHAnsi"/>
          <w:i/>
        </w:rPr>
        <w:t xml:space="preserve">«Possono essere conservati tra i residui attivi le entrate accertate esigibili nell’esercizio di riferimento, ma non incassate. Possono essere conservate tra i residui passivi le spese impegnate, liquidate o liquidabili nel corso dell’esercizio, ma non pagate. Le entrate e le spese accertate e impegnate non esigibili nell’esercizio considerato, sono immediatamente reimputate all’esercizio in cui sono esigibili. La reimputazione degli impegni è effettuata incrementando, di pari importo, il fondo pluriennale di spesa, al fine di consentire, nell’entrata degli esercizi successivi, l’iscrizione del fondo pluriennale vincolato a copertura delle spese reimputate. La costituzione del fondo pluriennale vincolato non è effettuata in caso di reimputazione contestuale di entrate e di spese. Le variazioni agli stanziamenti del fondo pluriennale vincolato e agli stanziamenti correlati, dell’esercizio in corso e dell’esercizio precedente, necessarie alla reimputazione delle entrate e delle spese riaccertate, sono effettuate con provvedimento amministrativo della giunta entro i termini previsti per l’approvazione del rendiconto dell’esercizio precedente. Il riaccertamento ordinario dei residui è effettuato anche nel corso dell’esercizio </w:t>
      </w:r>
      <w:r>
        <w:rPr>
          <w:rFonts w:asciiTheme="minorHAnsi" w:hAnsiTheme="minorHAnsi" w:cstheme="minorHAnsi"/>
          <w:i/>
        </w:rPr>
        <w:lastRenderedPageBreak/>
        <w:t xml:space="preserve">provvisorio o della gestione provvisoria. Al termine delle procedure di riaccertamento non sono conservati residui cui non corrispondono obbligazioni giuridicamente perfezionate». </w:t>
      </w:r>
    </w:p>
    <w:p w:rsidR="00552F7C" w:rsidRDefault="00FD4F24" w:rsidP="00BD6749">
      <w:pPr>
        <w:spacing w:after="160" w:line="259" w:lineRule="auto"/>
        <w:rPr>
          <w:rFonts w:asciiTheme="minorHAnsi" w:hAnsiTheme="minorHAnsi" w:cstheme="minorHAnsi"/>
        </w:rPr>
      </w:pPr>
      <w:r>
        <w:rPr>
          <w:rFonts w:asciiTheme="minorHAnsi" w:hAnsiTheme="minorHAnsi" w:cstheme="minorHAnsi"/>
        </w:rPr>
        <w:t xml:space="preserve">Preso atto che: </w:t>
      </w:r>
    </w:p>
    <w:p w:rsidR="00552F7C" w:rsidRDefault="00FD4F24">
      <w:pPr>
        <w:autoSpaceDE w:val="0"/>
        <w:autoSpaceDN w:val="0"/>
        <w:adjustRightInd w:val="0"/>
        <w:spacing w:after="24" w:line="360" w:lineRule="auto"/>
        <w:jc w:val="both"/>
        <w:rPr>
          <w:rFonts w:asciiTheme="minorHAnsi" w:hAnsiTheme="minorHAnsi" w:cstheme="minorHAnsi"/>
        </w:rPr>
      </w:pPr>
      <w:r>
        <w:rPr>
          <w:rFonts w:asciiTheme="minorHAnsi" w:hAnsiTheme="minorHAnsi" w:cstheme="minorHAnsi"/>
        </w:rPr>
        <w:t xml:space="preserve">▪ i vari dirigenti e/o responsabili dei servizi hanno trasmesso le risultanze del riaccertamento al settore (Ufficio di ragioneria e/o Ufficio bilancio e/o Programmazione e Gestione Finanziaria), dichiarando che hanno verificato anche a titolo documentale l’effettiva esigibilità dei propri residui; </w:t>
      </w:r>
    </w:p>
    <w:p w:rsidR="00563A87" w:rsidRPr="00C44DFB" w:rsidRDefault="00C44DFB" w:rsidP="00C44DFB">
      <w:pPr>
        <w:pStyle w:val="Paragrafoelenco"/>
        <w:numPr>
          <w:ilvl w:val="0"/>
          <w:numId w:val="10"/>
        </w:numPr>
        <w:autoSpaceDE w:val="0"/>
        <w:autoSpaceDN w:val="0"/>
        <w:adjustRightInd w:val="0"/>
        <w:spacing w:after="24" w:line="360" w:lineRule="auto"/>
        <w:ind w:left="0"/>
        <w:jc w:val="both"/>
        <w:rPr>
          <w:rFonts w:asciiTheme="minorHAnsi" w:hAnsiTheme="minorHAnsi" w:cstheme="minorHAnsi"/>
        </w:rPr>
      </w:pPr>
      <w:r>
        <w:rPr>
          <w:rFonts w:asciiTheme="minorHAnsi" w:hAnsiTheme="minorHAnsi" w:cstheme="minorHAnsi"/>
        </w:rPr>
        <w:t>atteso che con determinazione n.1507 del 30.12.19, adottata dal responsabile del servizio finanziario, sulla scorta delle decisioni assunte dai competenti responsabili di spesa si è proceduto alla variazione n.1 esercizio 2019 del FPV a seguito delle modifiche apportate nei crono programmi di spesa di taluni interventi  di beni e servizi e contratti di opere pubbliche;</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 il riaccertamento ordinario dei residui di cui alla presente deliberazione è stato elaborato sulla base delle comunicazioni dei responsabili dei servizi, acquisite e conservate agli atti del servizio finanziario. </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Vista la richiamata proposta deliberativa e i documenti allegati: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elenco dei residui attivi eliminati distinto per titoli;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elenco dei residui passivi eliminati distinto per titoli;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degli accertamenti 201</w:t>
      </w:r>
      <w:r w:rsidR="00E77969">
        <w:rPr>
          <w:rFonts w:asciiTheme="minorHAnsi" w:hAnsiTheme="minorHAnsi" w:cstheme="minorHAnsi"/>
        </w:rPr>
        <w:t>9</w:t>
      </w:r>
      <w:r>
        <w:rPr>
          <w:rFonts w:asciiTheme="minorHAnsi" w:hAnsiTheme="minorHAnsi" w:cstheme="minorHAnsi"/>
        </w:rPr>
        <w:t xml:space="preserve"> reimputati all’esercizio 20</w:t>
      </w:r>
      <w:r w:rsidR="00E77969">
        <w:rPr>
          <w:rFonts w:asciiTheme="minorHAnsi" w:hAnsiTheme="minorHAnsi" w:cstheme="minorHAnsi"/>
        </w:rPr>
        <w:t>20</w:t>
      </w:r>
      <w:r>
        <w:rPr>
          <w:rFonts w:asciiTheme="minorHAnsi" w:hAnsiTheme="minorHAnsi" w:cstheme="minorHAnsi"/>
        </w:rPr>
        <w:t xml:space="preserve"> e annualità successive distinto per titoli e con indicazione delle spese correlate;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degli impegni 201</w:t>
      </w:r>
      <w:r w:rsidR="007D1FC9">
        <w:rPr>
          <w:rFonts w:asciiTheme="minorHAnsi" w:hAnsiTheme="minorHAnsi" w:cstheme="minorHAnsi"/>
        </w:rPr>
        <w:t>9</w:t>
      </w:r>
      <w:r>
        <w:rPr>
          <w:rFonts w:asciiTheme="minorHAnsi" w:hAnsiTheme="minorHAnsi" w:cstheme="minorHAnsi"/>
        </w:rPr>
        <w:t xml:space="preserve"> reimputati all’esercizio 20</w:t>
      </w:r>
      <w:r w:rsidR="007D1FC9">
        <w:rPr>
          <w:rFonts w:asciiTheme="minorHAnsi" w:hAnsiTheme="minorHAnsi" w:cstheme="minorHAnsi"/>
        </w:rPr>
        <w:t>20</w:t>
      </w:r>
      <w:r>
        <w:rPr>
          <w:rFonts w:asciiTheme="minorHAnsi" w:hAnsiTheme="minorHAnsi" w:cstheme="minorHAnsi"/>
        </w:rPr>
        <w:t xml:space="preserve"> e annualità successive;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elenco dei residui attivi conservati da iscrivere nel conto </w:t>
      </w:r>
      <w:r w:rsidR="003E02FD">
        <w:rPr>
          <w:rFonts w:asciiTheme="minorHAnsi" w:hAnsiTheme="minorHAnsi" w:cstheme="minorHAnsi"/>
        </w:rPr>
        <w:t>del bilancio dell’esercizio 2019</w:t>
      </w:r>
      <w:r>
        <w:rPr>
          <w:rFonts w:asciiTheme="minorHAnsi" w:hAnsiTheme="minorHAnsi" w:cstheme="minorHAnsi"/>
        </w:rPr>
        <w:t xml:space="preserve"> distintamente, derivanti dalla gestione residui e dalla gestione competenza;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elenco dei residui passivi conservati da iscrivere nel conto </w:t>
      </w:r>
      <w:r w:rsidR="003E02FD">
        <w:rPr>
          <w:rFonts w:asciiTheme="minorHAnsi" w:hAnsiTheme="minorHAnsi" w:cstheme="minorHAnsi"/>
        </w:rPr>
        <w:t>del bilancio dell’esercizio 2019</w:t>
      </w:r>
      <w:r>
        <w:rPr>
          <w:rFonts w:asciiTheme="minorHAnsi" w:hAnsiTheme="minorHAnsi" w:cstheme="minorHAnsi"/>
        </w:rPr>
        <w:t xml:space="preserve"> distintamente, derivanti dalla gestione residui e dalla gestione competenza;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delle variazioni al bilancio dell’esercizio 201</w:t>
      </w:r>
      <w:r w:rsidR="007D1FC9">
        <w:rPr>
          <w:rFonts w:asciiTheme="minorHAnsi" w:hAnsiTheme="minorHAnsi" w:cstheme="minorHAnsi"/>
        </w:rPr>
        <w:t>9</w:t>
      </w:r>
      <w:r>
        <w:rPr>
          <w:rFonts w:asciiTheme="minorHAnsi" w:hAnsiTheme="minorHAnsi" w:cstheme="minorHAnsi"/>
        </w:rPr>
        <w:t>-202</w:t>
      </w:r>
      <w:r w:rsidR="007D1FC9">
        <w:rPr>
          <w:rFonts w:asciiTheme="minorHAnsi" w:hAnsiTheme="minorHAnsi" w:cstheme="minorHAnsi"/>
        </w:rPr>
        <w:t>1</w:t>
      </w:r>
      <w:r>
        <w:rPr>
          <w:rFonts w:asciiTheme="minorHAnsi" w:hAnsiTheme="minorHAnsi" w:cstheme="minorHAnsi"/>
        </w:rPr>
        <w:t xml:space="preserve">, di competenza e di cassa, funzionali all’incremento del fondo pluriennale vincolato relativo agli accertamenti ed impegni reimputati;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delle variazioni al bilancio dell’esercizio 20</w:t>
      </w:r>
      <w:r w:rsidR="007D1FC9">
        <w:rPr>
          <w:rFonts w:asciiTheme="minorHAnsi" w:hAnsiTheme="minorHAnsi" w:cstheme="minorHAnsi"/>
        </w:rPr>
        <w:t>20</w:t>
      </w:r>
      <w:r>
        <w:rPr>
          <w:rFonts w:asciiTheme="minorHAnsi" w:hAnsiTheme="minorHAnsi" w:cstheme="minorHAnsi"/>
        </w:rPr>
        <w:t>-202</w:t>
      </w:r>
      <w:r w:rsidR="007D1FC9">
        <w:rPr>
          <w:rFonts w:asciiTheme="minorHAnsi" w:hAnsiTheme="minorHAnsi" w:cstheme="minorHAnsi"/>
        </w:rPr>
        <w:t>2</w:t>
      </w:r>
      <w:r>
        <w:rPr>
          <w:rFonts w:asciiTheme="minorHAnsi" w:hAnsiTheme="minorHAnsi" w:cstheme="minorHAnsi"/>
        </w:rPr>
        <w:t xml:space="preserve">;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dei residui attivi e degli accertamenti esaminati nel riaccertamento con indicazione del totale dei residui da riportare al 31/12/201</w:t>
      </w:r>
      <w:r w:rsidR="007D1FC9">
        <w:rPr>
          <w:rFonts w:asciiTheme="minorHAnsi" w:hAnsiTheme="minorHAnsi" w:cstheme="minorHAnsi"/>
        </w:rPr>
        <w:t>9</w:t>
      </w:r>
      <w:r>
        <w:rPr>
          <w:rFonts w:asciiTheme="minorHAnsi" w:hAnsiTheme="minorHAnsi" w:cstheme="minorHAnsi"/>
        </w:rPr>
        <w:t xml:space="preserve">;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elenco dei residui passivi e degli impegni esaminati nel riaccertamento con indicazione del totale dei residui da riportare al 31/12/201</w:t>
      </w:r>
      <w:r w:rsidR="007D1FC9">
        <w:rPr>
          <w:rFonts w:asciiTheme="minorHAnsi" w:hAnsiTheme="minorHAnsi" w:cstheme="minorHAnsi"/>
        </w:rPr>
        <w:t>9</w:t>
      </w:r>
      <w:r>
        <w:rPr>
          <w:rFonts w:asciiTheme="minorHAnsi" w:hAnsiTheme="minorHAnsi" w:cstheme="minorHAnsi"/>
        </w:rPr>
        <w:t xml:space="preserve">; </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 elenco delle variazioni al Fondo Pluriennale Vincolato. </w:t>
      </w:r>
    </w:p>
    <w:p w:rsidR="00552F7C" w:rsidRDefault="00FD4F24">
      <w:pPr>
        <w:jc w:val="both"/>
        <w:rPr>
          <w:rFonts w:asciiTheme="minorHAnsi" w:hAnsiTheme="minorHAnsi" w:cstheme="minorHAnsi"/>
        </w:rPr>
      </w:pPr>
      <w:r>
        <w:rPr>
          <w:rFonts w:asciiTheme="minorHAnsi" w:hAnsiTheme="minorHAnsi" w:cstheme="minorHAnsi"/>
        </w:rPr>
        <w:t>L’organo di revisione ha proceduto alla verifica dei dati riportati nelle tabelle che seguono secondo la tecnica di campionamento (specificare la tecnica, ad esempio: criterio della significatività finanziaria) come da carte di lavoro allegate.</w:t>
      </w:r>
    </w:p>
    <w:p w:rsidR="00552F7C" w:rsidRDefault="00FD4F24">
      <w:pPr>
        <w:spacing w:after="160" w:line="259" w:lineRule="auto"/>
        <w:rPr>
          <w:rFonts w:asciiTheme="minorHAnsi" w:hAnsiTheme="minorHAnsi" w:cstheme="minorHAnsi"/>
          <w:b/>
          <w:bCs/>
        </w:rPr>
      </w:pPr>
      <w:r>
        <w:rPr>
          <w:rFonts w:asciiTheme="minorHAnsi" w:hAnsiTheme="minorHAnsi" w:cstheme="minorHAnsi"/>
          <w:b/>
          <w:bCs/>
        </w:rPr>
        <w:lastRenderedPageBreak/>
        <w:br w:type="page"/>
      </w: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bCs/>
        </w:rPr>
      </w:pPr>
      <w:r>
        <w:rPr>
          <w:rFonts w:asciiTheme="minorHAnsi" w:hAnsiTheme="minorHAnsi" w:cstheme="minorHAnsi"/>
          <w:b/>
          <w:bCs/>
        </w:rPr>
        <w:lastRenderedPageBreak/>
        <w:t>1 – ACCERTAMENTI ASSUNTI NEL 201</w:t>
      </w:r>
      <w:r w:rsidR="009323AF">
        <w:rPr>
          <w:rFonts w:asciiTheme="minorHAnsi" w:hAnsiTheme="minorHAnsi" w:cstheme="minorHAnsi"/>
          <w:b/>
          <w:bCs/>
        </w:rPr>
        <w:t>9</w:t>
      </w:r>
      <w:r>
        <w:rPr>
          <w:rFonts w:asciiTheme="minorHAnsi" w:hAnsiTheme="minorHAnsi" w:cstheme="minorHAnsi"/>
          <w:b/>
          <w:bCs/>
        </w:rPr>
        <w:t xml:space="preserve">, RISCOSSI o NON </w:t>
      </w:r>
      <w:r>
        <w:rPr>
          <w:rFonts w:asciiTheme="minorHAnsi" w:hAnsiTheme="minorHAnsi" w:cstheme="minorHAnsi"/>
          <w:b/>
          <w:bCs/>
          <w:caps/>
        </w:rPr>
        <w:t>riscossi</w:t>
      </w:r>
      <w:r>
        <w:rPr>
          <w:rFonts w:asciiTheme="minorHAnsi" w:hAnsiTheme="minorHAnsi" w:cstheme="minorHAnsi"/>
          <w:b/>
          <w:bCs/>
        </w:rPr>
        <w:t xml:space="preserve"> E O </w:t>
      </w:r>
      <w:bookmarkStart w:id="0" w:name="_Hlk1839142"/>
      <w:r>
        <w:rPr>
          <w:rFonts w:asciiTheme="minorHAnsi" w:hAnsiTheme="minorHAnsi" w:cstheme="minorHAnsi"/>
          <w:b/>
          <w:bCs/>
        </w:rPr>
        <w:t>REIMPUTATI ENTRO IL 31/12/20</w:t>
      </w:r>
      <w:bookmarkEnd w:id="0"/>
      <w:r w:rsidR="009323AF">
        <w:rPr>
          <w:rFonts w:asciiTheme="minorHAnsi" w:hAnsiTheme="minorHAnsi" w:cstheme="minorHAnsi"/>
          <w:b/>
          <w:bCs/>
        </w:rPr>
        <w:t>19</w:t>
      </w:r>
    </w:p>
    <w:p w:rsidR="00552F7C" w:rsidRDefault="00FD4F24">
      <w:pPr>
        <w:jc w:val="both"/>
        <w:rPr>
          <w:rFonts w:asciiTheme="minorHAnsi" w:hAnsiTheme="minorHAnsi" w:cstheme="minorHAnsi"/>
          <w:b/>
          <w:u w:val="single"/>
        </w:rPr>
      </w:pPr>
      <w:r>
        <w:rPr>
          <w:rFonts w:asciiTheme="minorHAnsi" w:hAnsiTheme="minorHAnsi" w:cstheme="minorHAnsi"/>
          <w:b/>
          <w:u w:val="single"/>
        </w:rPr>
        <w:t>Alla data del riaccertamento ordinario la situazione degli accertamenti e degli impegni è la seguente:</w:t>
      </w:r>
    </w:p>
    <w:p w:rsidR="00796509" w:rsidRDefault="00FD4F24" w:rsidP="00796509">
      <w:pPr>
        <w:rPr>
          <w:rFonts w:asciiTheme="minorHAnsi" w:hAnsiTheme="minorHAnsi" w:cstheme="minorHAnsi"/>
        </w:rPr>
      </w:pPr>
      <w:bookmarkStart w:id="1" w:name="_MON_1612614240"/>
      <w:bookmarkEnd w:id="1"/>
      <w:r w:rsidRPr="00BD5411">
        <w:rPr>
          <w:rFonts w:asciiTheme="minorHAnsi" w:hAnsiTheme="minorHAnsi" w:cstheme="minorHAnsi"/>
        </w:rPr>
        <w:t>Dall’esame risulta che le entrate accertate nel 201</w:t>
      </w:r>
      <w:r w:rsidR="007D1FC9">
        <w:rPr>
          <w:rFonts w:asciiTheme="minorHAnsi" w:hAnsiTheme="minorHAnsi" w:cstheme="minorHAnsi"/>
        </w:rPr>
        <w:t>9</w:t>
      </w:r>
      <w:r w:rsidRPr="00BD5411">
        <w:rPr>
          <w:rFonts w:asciiTheme="minorHAnsi" w:hAnsiTheme="minorHAnsi" w:cstheme="minorHAnsi"/>
        </w:rPr>
        <w:t>, non esigibili nell’esercizio considerato, sono state</w:t>
      </w:r>
      <w:r w:rsidR="00796509">
        <w:rPr>
          <w:rFonts w:asciiTheme="minorHAnsi" w:hAnsiTheme="minorHAnsi" w:cstheme="minorHAnsi"/>
        </w:rPr>
        <w:t xml:space="preserve"> </w:t>
      </w:r>
      <w:r w:rsidR="00944C5F">
        <w:rPr>
          <w:rFonts w:asciiTheme="minorHAnsi" w:hAnsiTheme="minorHAnsi" w:cstheme="minorHAnsi"/>
        </w:rPr>
        <w:t>correttamente re imputate nell’esercizio i n cui sono esigibili:</w:t>
      </w:r>
    </w:p>
    <w:p w:rsidR="00796509" w:rsidRDefault="00796509" w:rsidP="00796509">
      <w:pPr>
        <w:rPr>
          <w:rFonts w:asciiTheme="minorHAnsi" w:hAnsiTheme="minorHAnsi" w:cstheme="minorHAnsi"/>
        </w:rPr>
      </w:pPr>
    </w:p>
    <w:p w:rsidR="00796509" w:rsidRDefault="00066AFE" w:rsidP="00796509">
      <w:pPr>
        <w:rPr>
          <w:rFonts w:asciiTheme="minorHAnsi" w:hAnsiTheme="minorHAnsi" w:cstheme="minorHAnsi"/>
        </w:rPr>
      </w:pPr>
      <w:r>
        <w:rPr>
          <w:rFonts w:asciiTheme="minorHAnsi" w:hAnsiTheme="minorHAnsi" w:cstheme="minorHAnsi"/>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35.35pt;margin-top:-11.35pt;width:492.5pt;height:142.6pt;z-index:251661312">
            <v:imagedata r:id="rId9" o:title=""/>
            <w10:wrap type="square" side="right"/>
          </v:shape>
          <o:OLEObject Type="Embed" ProgID="Excel.Sheet.12" ShapeID="_x0000_s1058" DrawAspect="Content" ObjectID="_1645951306" r:id="rId10"/>
        </w:pict>
      </w:r>
    </w:p>
    <w:p w:rsidR="00796509" w:rsidRDefault="00796509" w:rsidP="00796509">
      <w:pPr>
        <w:rPr>
          <w:rFonts w:asciiTheme="minorHAnsi" w:hAnsiTheme="minorHAnsi" w:cstheme="minorHAnsi"/>
        </w:rPr>
      </w:pPr>
    </w:p>
    <w:p w:rsidR="00796509" w:rsidRDefault="00796509" w:rsidP="00796509">
      <w:pPr>
        <w:rPr>
          <w:rFonts w:asciiTheme="minorHAnsi" w:hAnsiTheme="minorHAnsi" w:cstheme="minorHAnsi"/>
        </w:rPr>
      </w:pPr>
    </w:p>
    <w:p w:rsidR="00796509" w:rsidRDefault="00796509" w:rsidP="00796509">
      <w:pPr>
        <w:rPr>
          <w:rFonts w:asciiTheme="minorHAnsi" w:hAnsiTheme="minorHAnsi" w:cstheme="minorHAnsi"/>
        </w:rPr>
      </w:pPr>
    </w:p>
    <w:p w:rsidR="00796509" w:rsidRDefault="00796509" w:rsidP="00796509">
      <w:pPr>
        <w:rPr>
          <w:rFonts w:asciiTheme="minorHAnsi" w:hAnsiTheme="minorHAnsi" w:cstheme="minorHAnsi"/>
        </w:rPr>
      </w:pPr>
    </w:p>
    <w:p w:rsidR="00796509" w:rsidRDefault="00796509" w:rsidP="00796509">
      <w:pPr>
        <w:rPr>
          <w:rFonts w:asciiTheme="minorHAnsi" w:hAnsiTheme="minorHAnsi" w:cstheme="minorHAnsi"/>
        </w:rPr>
      </w:pPr>
    </w:p>
    <w:p w:rsidR="00796509" w:rsidRDefault="00796509" w:rsidP="00796509">
      <w:pPr>
        <w:rPr>
          <w:rFonts w:asciiTheme="minorHAnsi" w:hAnsiTheme="minorHAnsi" w:cstheme="minorHAnsi"/>
        </w:rPr>
      </w:pPr>
    </w:p>
    <w:p w:rsidR="00796509" w:rsidRPr="00BD5411" w:rsidRDefault="00796509">
      <w:pPr>
        <w:rPr>
          <w:rFonts w:asciiTheme="minorHAnsi" w:hAnsiTheme="minorHAnsi" w:cstheme="minorHAnsi"/>
          <w:u w:val="single"/>
        </w:rPr>
      </w:pPr>
    </w:p>
    <w:p w:rsidR="00552F7C" w:rsidRPr="00F512AF" w:rsidRDefault="00066AFE">
      <w:pPr>
        <w:rPr>
          <w:rFonts w:asciiTheme="minorHAnsi" w:hAnsiTheme="minorHAnsi" w:cstheme="minorHAnsi"/>
          <w:b/>
          <w:bCs/>
          <w:color w:val="FF0000"/>
          <w:sz w:val="32"/>
          <w:szCs w:val="32"/>
        </w:rPr>
      </w:pPr>
      <w:r w:rsidRPr="00066AFE">
        <w:rPr>
          <w:rFonts w:cstheme="minorHAnsi"/>
          <w:noProof/>
        </w:rPr>
        <w:pict>
          <v:shape id="_x0000_s1055" type="#_x0000_t75" style="position:absolute;margin-left:42.75pt;margin-top:.65pt;width:485.75pt;height:132.5pt;z-index:251660288">
            <v:imagedata r:id="rId11" o:title=""/>
            <w10:wrap type="square" side="left"/>
          </v:shape>
          <o:OLEObject Type="Embed" ProgID="Excel.Sheet.12" ShapeID="_x0000_s1055" DrawAspect="Content" ObjectID="_1645951307" r:id="rId12"/>
        </w:pict>
      </w:r>
      <w:r w:rsidR="00796509">
        <w:rPr>
          <w:rFonts w:asciiTheme="minorHAnsi" w:hAnsiTheme="minorHAnsi" w:cstheme="minorHAnsi"/>
        </w:rPr>
        <w:br w:type="textWrapping" w:clear="all"/>
      </w:r>
    </w:p>
    <w:p w:rsidR="00552F7C" w:rsidRDefault="004E0AEE" w:rsidP="004E0AEE">
      <w:pPr>
        <w:tabs>
          <w:tab w:val="left" w:pos="8760"/>
        </w:tabs>
        <w:jc w:val="both"/>
        <w:rPr>
          <w:rFonts w:asciiTheme="minorHAnsi" w:hAnsiTheme="minorHAnsi" w:cstheme="minorHAnsi"/>
          <w:b/>
          <w:u w:val="single"/>
        </w:rPr>
      </w:pPr>
      <w:r>
        <w:rPr>
          <w:rFonts w:asciiTheme="minorHAnsi" w:hAnsiTheme="minorHAnsi" w:cstheme="minorHAnsi"/>
          <w:b/>
          <w:u w:val="single"/>
        </w:rPr>
        <w:tab/>
      </w:r>
    </w:p>
    <w:p w:rsidR="00552F7C" w:rsidRDefault="00552F7C">
      <w:pPr>
        <w:jc w:val="both"/>
        <w:rPr>
          <w:rFonts w:asciiTheme="minorHAnsi" w:hAnsiTheme="minorHAnsi" w:cstheme="minorHAnsi"/>
          <w:b/>
          <w:u w:val="single"/>
        </w:rPr>
      </w:pPr>
    </w:p>
    <w:p w:rsidR="00552F7C" w:rsidRDefault="00FD4F24">
      <w:pPr>
        <w:spacing w:after="160" w:line="259" w:lineRule="auto"/>
        <w:rPr>
          <w:rFonts w:asciiTheme="minorHAnsi" w:hAnsiTheme="minorHAnsi" w:cstheme="minorHAnsi"/>
          <w:b/>
        </w:rPr>
      </w:pPr>
      <w:r>
        <w:rPr>
          <w:rFonts w:asciiTheme="minorHAnsi" w:hAnsiTheme="minorHAnsi" w:cstheme="minorHAnsi"/>
          <w:b/>
        </w:rPr>
        <w:br w:type="page"/>
      </w: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lastRenderedPageBreak/>
        <w:t>2.</w:t>
      </w:r>
      <w:r>
        <w:rPr>
          <w:rFonts w:asciiTheme="minorHAnsi" w:hAnsiTheme="minorHAnsi" w:cstheme="minorHAnsi"/>
          <w:b/>
          <w:bCs/>
        </w:rPr>
        <w:t xml:space="preserve"> IMPEGNI ASSUNTI NEL 201</w:t>
      </w:r>
      <w:r w:rsidR="007D1FC9">
        <w:rPr>
          <w:rFonts w:asciiTheme="minorHAnsi" w:hAnsiTheme="minorHAnsi" w:cstheme="minorHAnsi"/>
          <w:b/>
          <w:bCs/>
        </w:rPr>
        <w:t>9</w:t>
      </w:r>
      <w:r>
        <w:rPr>
          <w:rFonts w:asciiTheme="minorHAnsi" w:hAnsiTheme="minorHAnsi" w:cstheme="minorHAnsi"/>
          <w:b/>
          <w:bCs/>
        </w:rPr>
        <w:t>, PAGATI o NON PAGATI o REIMPUTATI ENTRO IL 31/12/201</w:t>
      </w:r>
      <w:r w:rsidR="007D1FC9">
        <w:rPr>
          <w:rFonts w:asciiTheme="minorHAnsi" w:hAnsiTheme="minorHAnsi" w:cstheme="minorHAnsi"/>
          <w:b/>
          <w:bCs/>
        </w:rPr>
        <w:t>9</w:t>
      </w:r>
    </w:p>
    <w:p w:rsidR="00552F7C" w:rsidRDefault="00FD4F24">
      <w:pPr>
        <w:jc w:val="both"/>
        <w:rPr>
          <w:rFonts w:asciiTheme="minorHAnsi" w:hAnsiTheme="minorHAnsi" w:cstheme="minorHAnsi"/>
          <w:b/>
          <w:u w:val="single"/>
        </w:rPr>
      </w:pPr>
      <w:r>
        <w:rPr>
          <w:rFonts w:asciiTheme="minorHAnsi" w:hAnsiTheme="minorHAnsi" w:cstheme="minorHAnsi"/>
          <w:b/>
          <w:u w:val="single"/>
        </w:rPr>
        <w:t>Alla data del riaccertamento ordinario la situazione degli impegni è la seguente:</w:t>
      </w:r>
    </w:p>
    <w:bookmarkStart w:id="2" w:name="_MON_1612614353"/>
    <w:bookmarkEnd w:id="2"/>
    <w:p w:rsidR="00552F7C" w:rsidRPr="00F512AF" w:rsidRDefault="003B0DF2">
      <w:pPr>
        <w:jc w:val="both"/>
        <w:rPr>
          <w:rFonts w:asciiTheme="minorHAnsi" w:hAnsiTheme="minorHAnsi" w:cstheme="minorHAnsi"/>
          <w:b/>
          <w:color w:val="FF0000"/>
          <w:u w:val="single"/>
        </w:rPr>
      </w:pPr>
      <w:r w:rsidRPr="002139DC">
        <w:rPr>
          <w:rFonts w:asciiTheme="minorHAnsi" w:hAnsiTheme="minorHAnsi" w:cstheme="minorHAnsi"/>
          <w:b/>
          <w:u w:val="single"/>
        </w:rPr>
        <w:object w:dxaOrig="9764" w:dyaOrig="3410">
          <v:shape id="_x0000_i1025" type="#_x0000_t75" style="width:497.25pt;height:149.25pt" o:ole="">
            <v:imagedata r:id="rId13" o:title=""/>
          </v:shape>
          <o:OLEObject Type="Embed" ProgID="Excel.Sheet.12" ShapeID="_x0000_i1025" DrawAspect="Content" ObjectID="_1645951295" r:id="rId14"/>
        </w:object>
      </w:r>
    </w:p>
    <w:p w:rsidR="00552F7C" w:rsidRPr="00BD5411" w:rsidRDefault="00FD4F24">
      <w:pPr>
        <w:jc w:val="both"/>
        <w:rPr>
          <w:rFonts w:asciiTheme="minorHAnsi" w:hAnsiTheme="minorHAnsi" w:cstheme="minorHAnsi"/>
        </w:rPr>
      </w:pPr>
      <w:r w:rsidRPr="00BD5411">
        <w:rPr>
          <w:rFonts w:asciiTheme="minorHAnsi" w:hAnsiTheme="minorHAnsi" w:cstheme="minorHAnsi"/>
        </w:rPr>
        <w:t xml:space="preserve">Dall’esame risulta che le spese impegnate non esigibili nell’esercizio considerato, sono state correttamente reimputate all’esercizio in cui sono esigibili. </w:t>
      </w:r>
    </w:p>
    <w:bookmarkStart w:id="3" w:name="_MON_1615614628"/>
    <w:bookmarkEnd w:id="3"/>
    <w:p w:rsidR="00552F7C" w:rsidRDefault="003B0DF2">
      <w:pPr>
        <w:jc w:val="center"/>
        <w:rPr>
          <w:rFonts w:asciiTheme="minorHAnsi" w:hAnsiTheme="minorHAnsi" w:cstheme="minorHAnsi"/>
          <w:b/>
        </w:rPr>
      </w:pPr>
      <w:r w:rsidRPr="002139DC">
        <w:rPr>
          <w:rFonts w:asciiTheme="minorHAnsi" w:hAnsiTheme="minorHAnsi" w:cstheme="minorHAnsi"/>
          <w:b/>
        </w:rPr>
        <w:object w:dxaOrig="8207" w:dyaOrig="2629">
          <v:shape id="_x0000_i1026" type="#_x0000_t75" style="width:420.75pt;height:117pt" o:ole="">
            <v:imagedata r:id="rId15" o:title=""/>
          </v:shape>
          <o:OLEObject Type="Embed" ProgID="Excel.Sheet.12" ShapeID="_x0000_i1026" DrawAspect="Content" ObjectID="_1645951296" r:id="rId16"/>
        </w:object>
      </w:r>
    </w:p>
    <w:p w:rsidR="00552F7C" w:rsidRDefault="00FD4F24" w:rsidP="00971B64">
      <w:pPr>
        <w:jc w:val="both"/>
        <w:rPr>
          <w:rFonts w:asciiTheme="minorHAnsi" w:hAnsiTheme="minorHAnsi" w:cstheme="minorHAnsi"/>
          <w:b/>
        </w:rPr>
      </w:pPr>
      <w:r w:rsidRPr="007E6180">
        <w:rPr>
          <w:rFonts w:asciiTheme="minorHAnsi" w:hAnsiTheme="minorHAnsi" w:cstheme="minorHAnsi"/>
        </w:rPr>
        <w:t>La reimputazione degli impegni è stata effettuata incrementando</w:t>
      </w:r>
      <w:r w:rsidR="007E6180" w:rsidRPr="007E6180">
        <w:rPr>
          <w:rFonts w:asciiTheme="minorHAnsi" w:hAnsiTheme="minorHAnsi" w:cstheme="minorHAnsi"/>
        </w:rPr>
        <w:t xml:space="preserve"> in parte</w:t>
      </w:r>
      <w:r w:rsidRPr="007E6180">
        <w:rPr>
          <w:rFonts w:asciiTheme="minorHAnsi" w:hAnsiTheme="minorHAnsi" w:cstheme="minorHAnsi"/>
        </w:rPr>
        <w:t>, il fondo pluriennale di spesa, al fine di consentire, nell’entrata degli esercizi successivi, l’iscrizione del fondo pluriennale vincolato a copertura delle spese reimputate</w:t>
      </w:r>
      <w:r w:rsidR="007E6180" w:rsidRPr="007E6180">
        <w:rPr>
          <w:rFonts w:asciiTheme="minorHAnsi" w:hAnsiTheme="minorHAnsi" w:cstheme="minorHAnsi"/>
        </w:rPr>
        <w:t>. Nella tabella sottostante si riportano le reimputazioni che non hanno generato FPV.</w:t>
      </w:r>
      <w:r w:rsidR="00971B64">
        <w:rPr>
          <w:rFonts w:asciiTheme="minorHAnsi" w:hAnsiTheme="minorHAnsi" w:cstheme="minorHAnsi"/>
        </w:rPr>
        <w:t xml:space="preserve"> </w:t>
      </w: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bCs/>
        </w:rPr>
      </w:pPr>
      <w:r>
        <w:rPr>
          <w:rFonts w:asciiTheme="minorHAnsi" w:hAnsiTheme="minorHAnsi" w:cstheme="minorHAnsi"/>
          <w:b/>
        </w:rPr>
        <w:t>3. REIMPUTAZIONE CONTESTUALE DI ENTRATE E DI SPESE</w:t>
      </w:r>
    </w:p>
    <w:p w:rsidR="00552F7C" w:rsidRPr="00F6117F" w:rsidRDefault="00FD4F24">
      <w:pPr>
        <w:jc w:val="both"/>
        <w:rPr>
          <w:rFonts w:asciiTheme="minorHAnsi" w:hAnsiTheme="minorHAnsi" w:cstheme="minorHAnsi"/>
          <w:color w:val="FF0000"/>
        </w:rPr>
      </w:pPr>
      <w:r w:rsidRPr="00BD5411">
        <w:rPr>
          <w:rFonts w:asciiTheme="minorHAnsi" w:hAnsiTheme="minorHAnsi" w:cstheme="minorHAnsi"/>
        </w:rPr>
        <w:t>Tenuto conto che la costituzione del fondo pluriennale vincolato non è effettuata in caso di contestuale reimputazione di entrate e spese correlate</w:t>
      </w:r>
      <w:r w:rsidR="00BD5411">
        <w:rPr>
          <w:rFonts w:asciiTheme="minorHAnsi" w:hAnsiTheme="minorHAnsi" w:cstheme="minorHAnsi"/>
        </w:rPr>
        <w:t>,</w:t>
      </w:r>
      <w:r w:rsidRPr="00BD5411">
        <w:rPr>
          <w:rFonts w:asciiTheme="minorHAnsi" w:hAnsiTheme="minorHAnsi" w:cstheme="minorHAnsi"/>
        </w:rPr>
        <w:t xml:space="preserve"> nell</w:t>
      </w:r>
      <w:r w:rsidR="00BD5411">
        <w:rPr>
          <w:rFonts w:asciiTheme="minorHAnsi" w:hAnsiTheme="minorHAnsi" w:cstheme="minorHAnsi"/>
        </w:rPr>
        <w:t>a</w:t>
      </w:r>
      <w:r w:rsidRPr="00BD5411">
        <w:rPr>
          <w:rFonts w:asciiTheme="minorHAnsi" w:hAnsiTheme="minorHAnsi" w:cstheme="minorHAnsi"/>
        </w:rPr>
        <w:t xml:space="preserve"> tabella sono riportate le reimputazioni che non hanno generato FPV:</w:t>
      </w:r>
      <w:r w:rsidR="00F6117F">
        <w:rPr>
          <w:rFonts w:asciiTheme="minorHAnsi" w:hAnsiTheme="minorHAnsi" w:cstheme="minorHAnsi"/>
        </w:rPr>
        <w:t xml:space="preserve"> </w:t>
      </w:r>
    </w:p>
    <w:p w:rsidR="00552F7C" w:rsidRPr="00215FEE" w:rsidRDefault="00066AFE" w:rsidP="00C007CC">
      <w:pPr>
        <w:rPr>
          <w:rFonts w:asciiTheme="minorHAnsi" w:hAnsiTheme="minorHAnsi" w:cstheme="minorHAnsi"/>
        </w:rPr>
      </w:pPr>
      <w:r w:rsidRPr="00066AFE">
        <w:rPr>
          <w:rFonts w:cstheme="minorHAnsi"/>
          <w:b/>
          <w:bCs/>
          <w:noProof/>
        </w:rPr>
        <w:pict>
          <v:shape id="_x0000_s1071" type="#_x0000_t75" style="position:absolute;margin-left:131.25pt;margin-top:.1pt;width:262.05pt;height:105.25pt;z-index:251663360">
            <v:imagedata r:id="rId17" o:title=""/>
            <w10:wrap type="square" side="left"/>
          </v:shape>
          <o:OLEObject Type="Embed" ProgID="Excel.Sheet.12" ShapeID="_x0000_s1071" DrawAspect="Content" ObjectID="_1645951308" r:id="rId18"/>
        </w:pict>
      </w:r>
      <w:r w:rsidR="00F512AF" w:rsidRPr="00F512AF">
        <w:rPr>
          <w:rFonts w:asciiTheme="minorHAnsi" w:hAnsiTheme="minorHAnsi" w:cstheme="minorHAnsi"/>
          <w:b/>
          <w:bCs/>
        </w:rPr>
        <w:t>OK</w:t>
      </w:r>
      <w:r w:rsidR="00C007CC" w:rsidRPr="00215FEE">
        <w:rPr>
          <w:rFonts w:asciiTheme="minorHAnsi" w:hAnsiTheme="minorHAnsi" w:cstheme="minorHAnsi"/>
        </w:rPr>
        <w:br w:type="textWrapping" w:clear="all"/>
      </w:r>
    </w:p>
    <w:p w:rsidR="00552F7C" w:rsidRPr="00971B64" w:rsidRDefault="00FD4F24">
      <w:pPr>
        <w:jc w:val="both"/>
        <w:rPr>
          <w:rFonts w:asciiTheme="minorHAnsi" w:hAnsiTheme="minorHAnsi" w:cstheme="minorHAnsi"/>
        </w:rPr>
      </w:pPr>
      <w:r w:rsidRPr="00971B64">
        <w:rPr>
          <w:rFonts w:asciiTheme="minorHAnsi" w:hAnsiTheme="minorHAnsi" w:cstheme="minorHAnsi"/>
        </w:rPr>
        <w:t xml:space="preserve">La reimputazione degli accertamenti e degli impegni è stata effettuata in base all’esigibilità dell’entrata e della spesa. </w:t>
      </w:r>
    </w:p>
    <w:p w:rsidR="00552F7C" w:rsidRDefault="00552F7C">
      <w:pPr>
        <w:spacing w:after="160" w:line="259" w:lineRule="auto"/>
        <w:rPr>
          <w:rFonts w:asciiTheme="minorHAnsi" w:hAnsiTheme="minorHAnsi" w:cstheme="minorHAnsi"/>
          <w:b/>
        </w:rPr>
      </w:pP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4. FONDO PLURIENNAL</w:t>
      </w:r>
      <w:r w:rsidR="007D1FC9">
        <w:rPr>
          <w:rFonts w:asciiTheme="minorHAnsi" w:hAnsiTheme="minorHAnsi" w:cstheme="minorHAnsi"/>
          <w:b/>
        </w:rPr>
        <w:t>E VINCOLATO DI SPESA FINALE 2019</w:t>
      </w:r>
    </w:p>
    <w:p w:rsidR="00552F7C" w:rsidRDefault="00FD4F24">
      <w:pPr>
        <w:jc w:val="both"/>
        <w:rPr>
          <w:rFonts w:asciiTheme="minorHAnsi" w:hAnsiTheme="minorHAnsi" w:cstheme="minorHAnsi"/>
        </w:rPr>
      </w:pPr>
      <w:r>
        <w:rPr>
          <w:rFonts w:asciiTheme="minorHAnsi" w:hAnsiTheme="minorHAnsi" w:cstheme="minorHAnsi"/>
        </w:rPr>
        <w:t>Il fondo pluriennale vincolato al 31/12/201</w:t>
      </w:r>
      <w:r w:rsidR="007D1FC9">
        <w:rPr>
          <w:rFonts w:asciiTheme="minorHAnsi" w:hAnsiTheme="minorHAnsi" w:cstheme="minorHAnsi"/>
        </w:rPr>
        <w:t>9</w:t>
      </w:r>
      <w:r>
        <w:rPr>
          <w:rFonts w:asciiTheme="minorHAnsi" w:hAnsiTheme="minorHAnsi" w:cstheme="minorHAnsi"/>
        </w:rPr>
        <w:t xml:space="preserve"> è pari a euro</w:t>
      </w:r>
      <w:r w:rsidR="00215FEE">
        <w:rPr>
          <w:rFonts w:asciiTheme="minorHAnsi" w:hAnsiTheme="minorHAnsi" w:cstheme="minorHAnsi"/>
        </w:rPr>
        <w:t xml:space="preserve"> 9.359.835,10</w:t>
      </w:r>
      <w:r>
        <w:rPr>
          <w:rFonts w:asciiTheme="minorHAnsi" w:hAnsiTheme="minorHAnsi" w:cstheme="minorHAnsi"/>
        </w:rPr>
        <w:t>;</w:t>
      </w:r>
    </w:p>
    <w:p w:rsidR="00552F7C" w:rsidRDefault="00FD4F24">
      <w:pPr>
        <w:jc w:val="both"/>
        <w:rPr>
          <w:rFonts w:asciiTheme="minorHAnsi" w:hAnsiTheme="minorHAnsi" w:cstheme="minorHAnsi"/>
          <w:b/>
        </w:rPr>
      </w:pPr>
      <w:r>
        <w:rPr>
          <w:rFonts w:asciiTheme="minorHAnsi" w:hAnsiTheme="minorHAnsi" w:cstheme="minorHAnsi"/>
          <w:b/>
        </w:rPr>
        <w:t>La composizione del FPV 201</w:t>
      </w:r>
      <w:r w:rsidR="007D1FC9">
        <w:rPr>
          <w:rFonts w:asciiTheme="minorHAnsi" w:hAnsiTheme="minorHAnsi" w:cstheme="minorHAnsi"/>
          <w:b/>
        </w:rPr>
        <w:t>9</w:t>
      </w:r>
      <w:r>
        <w:rPr>
          <w:rFonts w:asciiTheme="minorHAnsi" w:hAnsiTheme="minorHAnsi" w:cstheme="minorHAnsi"/>
          <w:b/>
        </w:rPr>
        <w:t xml:space="preserve"> spesa finale pari a euro</w:t>
      </w:r>
      <w:r w:rsidR="001247A0">
        <w:rPr>
          <w:rFonts w:asciiTheme="minorHAnsi" w:hAnsiTheme="minorHAnsi" w:cstheme="minorHAnsi"/>
          <w:b/>
        </w:rPr>
        <w:t xml:space="preserve">  </w:t>
      </w:r>
      <w:r w:rsidR="00215FEE">
        <w:rPr>
          <w:rFonts w:asciiTheme="minorHAnsi" w:hAnsiTheme="minorHAnsi" w:cstheme="minorHAnsi"/>
          <w:b/>
        </w:rPr>
        <w:t xml:space="preserve">9.359.835,10 </w:t>
      </w:r>
      <w:r>
        <w:rPr>
          <w:rFonts w:asciiTheme="minorHAnsi" w:hAnsiTheme="minorHAnsi" w:cstheme="minorHAnsi"/>
          <w:b/>
        </w:rPr>
        <w:t>è pertanto la seguente:</w:t>
      </w:r>
    </w:p>
    <w:bookmarkStart w:id="4" w:name="_MON_1615627548"/>
    <w:bookmarkEnd w:id="4"/>
    <w:p w:rsidR="00552F7C" w:rsidRDefault="00E21B7F">
      <w:pPr>
        <w:jc w:val="both"/>
        <w:rPr>
          <w:rFonts w:asciiTheme="minorHAnsi" w:hAnsiTheme="minorHAnsi" w:cstheme="minorHAnsi"/>
        </w:rPr>
      </w:pPr>
      <w:r w:rsidRPr="002139DC">
        <w:rPr>
          <w:rFonts w:asciiTheme="minorHAnsi" w:hAnsiTheme="minorHAnsi" w:cstheme="minorHAnsi"/>
          <w:b/>
          <w:color w:val="FF0000"/>
        </w:rPr>
        <w:object w:dxaOrig="26208" w:dyaOrig="8785">
          <v:shape id="_x0000_i1027" type="#_x0000_t75" style="width:563.25pt;height:309.75pt" o:ole="">
            <v:imagedata r:id="rId19" o:title=""/>
          </v:shape>
          <o:OLEObject Type="Embed" ProgID="Excel.Sheet.12" ShapeID="_x0000_i1027" DrawAspect="Content" ObjectID="_1645951297" r:id="rId20"/>
        </w:object>
      </w:r>
    </w:p>
    <w:p w:rsidR="00552F7C" w:rsidRPr="00215FEE" w:rsidRDefault="00FD4F24">
      <w:pPr>
        <w:jc w:val="both"/>
        <w:rPr>
          <w:rFonts w:asciiTheme="minorHAnsi" w:hAnsiTheme="minorHAnsi" w:cstheme="minorHAnsi"/>
          <w:b/>
          <w:bCs/>
          <w:color w:val="FF0000"/>
        </w:rPr>
      </w:pPr>
      <w:r>
        <w:rPr>
          <w:rFonts w:asciiTheme="minorHAnsi" w:hAnsiTheme="minorHAnsi" w:cstheme="minorHAnsi"/>
        </w:rPr>
        <w:t>Il FPV finale spesa 20</w:t>
      </w:r>
      <w:r w:rsidR="007D1FC9">
        <w:rPr>
          <w:rFonts w:asciiTheme="minorHAnsi" w:hAnsiTheme="minorHAnsi" w:cstheme="minorHAnsi"/>
        </w:rPr>
        <w:t>19</w:t>
      </w:r>
      <w:r>
        <w:rPr>
          <w:rFonts w:asciiTheme="minorHAnsi" w:hAnsiTheme="minorHAnsi" w:cstheme="minorHAnsi"/>
        </w:rPr>
        <w:t xml:space="preserve"> costituisce un’entrata del bilancio 20</w:t>
      </w:r>
      <w:r w:rsidR="007D1FC9">
        <w:rPr>
          <w:rFonts w:asciiTheme="minorHAnsi" w:hAnsiTheme="minorHAnsi" w:cstheme="minorHAnsi"/>
        </w:rPr>
        <w:t>20</w:t>
      </w:r>
      <w:r>
        <w:rPr>
          <w:rFonts w:asciiTheme="minorHAnsi" w:hAnsiTheme="minorHAnsi" w:cstheme="minorHAnsi"/>
        </w:rPr>
        <w:t xml:space="preserve">; </w:t>
      </w:r>
      <w:r w:rsidR="00215FEE">
        <w:rPr>
          <w:rFonts w:asciiTheme="minorHAnsi" w:hAnsiTheme="minorHAnsi" w:cstheme="minorHAnsi"/>
        </w:rPr>
        <w:t xml:space="preserve">         </w:t>
      </w:r>
    </w:p>
    <w:bookmarkStart w:id="5" w:name="_MON_1615373538"/>
    <w:bookmarkEnd w:id="5"/>
    <w:p w:rsidR="00552F7C" w:rsidRDefault="00E21B7F">
      <w:pPr>
        <w:jc w:val="center"/>
        <w:rPr>
          <w:rFonts w:asciiTheme="minorHAnsi" w:hAnsiTheme="minorHAnsi" w:cstheme="minorHAnsi"/>
          <w:b/>
        </w:rPr>
      </w:pPr>
      <w:r w:rsidRPr="002139DC">
        <w:rPr>
          <w:rFonts w:asciiTheme="minorHAnsi" w:hAnsiTheme="minorHAnsi" w:cstheme="minorHAnsi"/>
          <w:b/>
          <w:color w:val="FF0000"/>
        </w:rPr>
        <w:object w:dxaOrig="5301" w:dyaOrig="2339">
          <v:shape id="_x0000_i1028" type="#_x0000_t75" style="width:264.75pt;height:117pt" o:ole="">
            <v:imagedata r:id="rId21" o:title=""/>
          </v:shape>
          <o:OLEObject Type="Embed" ProgID="Excel.Sheet.12" ShapeID="_x0000_i1028" DrawAspect="Content" ObjectID="_1645951298" r:id="rId22"/>
        </w:object>
      </w:r>
    </w:p>
    <w:p w:rsidR="00552F7C" w:rsidRDefault="00FD4F24">
      <w:pPr>
        <w:jc w:val="both"/>
        <w:rPr>
          <w:rFonts w:asciiTheme="minorHAnsi" w:hAnsiTheme="minorHAnsi" w:cstheme="minorHAnsi"/>
          <w:color w:val="000000"/>
        </w:rPr>
      </w:pPr>
      <w:r>
        <w:rPr>
          <w:rFonts w:asciiTheme="minorHAnsi" w:hAnsiTheme="minorHAnsi" w:cstheme="minorHAnsi"/>
        </w:rPr>
        <w:lastRenderedPageBreak/>
        <w:t xml:space="preserve">L’Organo di revisione fa presente che il principio contabile 4/2 indica che </w:t>
      </w:r>
      <w:r>
        <w:rPr>
          <w:rFonts w:asciiTheme="minorHAnsi" w:hAnsiTheme="minorHAnsi" w:cstheme="minorHAnsi"/>
          <w:color w:val="000000"/>
        </w:rPr>
        <w:t>il FPV è prevalentemente costituito dalle spese in conto capitale, ma può essere destinato anche a garantire la copertura di spese correnti o per attività finanziarie, finanziate da entrate esigibili in esercizi precedenti a quelli di imputazione della spesa.</w:t>
      </w:r>
    </w:p>
    <w:p w:rsidR="00552F7C" w:rsidRDefault="00FD4F24">
      <w:pPr>
        <w:jc w:val="both"/>
        <w:rPr>
          <w:rFonts w:asciiTheme="minorHAnsi" w:hAnsiTheme="minorHAnsi" w:cstheme="minorHAnsi"/>
        </w:rPr>
      </w:pPr>
      <w:r>
        <w:rPr>
          <w:rFonts w:asciiTheme="minorHAnsi" w:hAnsiTheme="minorHAnsi" w:cstheme="minorHAnsi"/>
        </w:rPr>
        <w:t>Per quanto riguardo il FPV finale spesa 20</w:t>
      </w:r>
      <w:r w:rsidR="007D1FC9">
        <w:rPr>
          <w:rFonts w:asciiTheme="minorHAnsi" w:hAnsiTheme="minorHAnsi" w:cstheme="minorHAnsi"/>
        </w:rPr>
        <w:t>19</w:t>
      </w:r>
      <w:r>
        <w:rPr>
          <w:rFonts w:asciiTheme="minorHAnsi" w:hAnsiTheme="minorHAnsi" w:cstheme="minorHAnsi"/>
        </w:rPr>
        <w:t xml:space="preserve"> di parte corrente si riportano le casistiche:</w:t>
      </w:r>
      <w:r w:rsidR="00215FEE">
        <w:rPr>
          <w:rFonts w:asciiTheme="minorHAnsi" w:hAnsiTheme="minorHAnsi" w:cstheme="minorHAnsi"/>
        </w:rPr>
        <w:t xml:space="preserve">       </w:t>
      </w:r>
    </w:p>
    <w:bookmarkStart w:id="6" w:name="_MON_1615623794"/>
    <w:bookmarkEnd w:id="6"/>
    <w:p w:rsidR="00552F7C" w:rsidRDefault="00E21B7F">
      <w:pPr>
        <w:jc w:val="center"/>
        <w:rPr>
          <w:rFonts w:asciiTheme="minorHAnsi" w:hAnsiTheme="minorHAnsi" w:cstheme="minorHAnsi"/>
        </w:rPr>
      </w:pPr>
      <w:r w:rsidRPr="002139DC">
        <w:rPr>
          <w:rFonts w:asciiTheme="minorHAnsi" w:hAnsiTheme="minorHAnsi" w:cstheme="minorHAnsi"/>
        </w:rPr>
        <w:object w:dxaOrig="7500" w:dyaOrig="2339">
          <v:shape id="_x0000_i1029" type="#_x0000_t75" style="width:375pt;height:117pt" o:ole="">
            <v:imagedata r:id="rId23" o:title=""/>
          </v:shape>
          <o:OLEObject Type="Embed" ProgID="Excel.Sheet.12" ShapeID="_x0000_i1029" DrawAspect="Content" ObjectID="_1645951299" r:id="rId24"/>
        </w:object>
      </w:r>
    </w:p>
    <w:p w:rsidR="00552F7C" w:rsidRDefault="00FD4F24">
      <w:pPr>
        <w:jc w:val="both"/>
        <w:rPr>
          <w:rFonts w:asciiTheme="minorHAnsi" w:hAnsiTheme="minorHAnsi" w:cstheme="minorHAnsi"/>
        </w:rPr>
      </w:pPr>
      <w:r>
        <w:rPr>
          <w:rFonts w:asciiTheme="minorHAnsi" w:hAnsiTheme="minorHAnsi" w:cstheme="minorHAnsi"/>
        </w:rPr>
        <w:t xml:space="preserve">L’organo di revisione ha verificato che il FPV spesa è costituito ai sensi del </w:t>
      </w:r>
    </w:p>
    <w:p w:rsidR="00552F7C" w:rsidRDefault="00FD4F24">
      <w:pPr>
        <w:pStyle w:val="Paragrafoelenco"/>
        <w:numPr>
          <w:ilvl w:val="0"/>
          <w:numId w:val="6"/>
        </w:numPr>
        <w:ind w:left="283" w:hanging="357"/>
        <w:jc w:val="both"/>
        <w:rPr>
          <w:rFonts w:asciiTheme="minorHAnsi" w:hAnsiTheme="minorHAnsi" w:cstheme="minorHAnsi"/>
        </w:rPr>
      </w:pPr>
      <w:r>
        <w:rPr>
          <w:rFonts w:asciiTheme="minorHAnsi" w:hAnsiTheme="minorHAnsi" w:cstheme="minorHAnsi"/>
        </w:rPr>
        <w:t>principio contabile 4/2, punto 5.4. da entrate già accertate destinate al finanziamento di obbligazioni passive già impegnate, ma esigibili in esercizi successivi a quello in cui è accertata l’entrata ed</w:t>
      </w:r>
      <w:r>
        <w:rPr>
          <w:rFonts w:asciiTheme="minorHAnsi" w:hAnsiTheme="minorHAnsi" w:cstheme="minorHAnsi"/>
          <w:b/>
        </w:rPr>
        <w:t xml:space="preserve"> è conforme all’evoluzione dei cronoprogrammi di spesa;</w:t>
      </w:r>
    </w:p>
    <w:p w:rsidR="00552F7C" w:rsidRDefault="00552F7C">
      <w:pPr>
        <w:pStyle w:val="Paragrafoelenco"/>
        <w:ind w:left="283"/>
        <w:jc w:val="both"/>
        <w:rPr>
          <w:rFonts w:asciiTheme="minorHAnsi" w:hAnsiTheme="minorHAnsi" w:cstheme="minorHAnsi"/>
        </w:rPr>
      </w:pPr>
    </w:p>
    <w:p w:rsidR="00552F7C" w:rsidRDefault="00FD4F24">
      <w:pPr>
        <w:pStyle w:val="Paragrafoelenco"/>
        <w:numPr>
          <w:ilvl w:val="0"/>
          <w:numId w:val="6"/>
        </w:numPr>
        <w:ind w:left="283" w:hanging="357"/>
        <w:jc w:val="both"/>
        <w:rPr>
          <w:rFonts w:asciiTheme="minorHAnsi" w:hAnsiTheme="minorHAnsi" w:cstheme="minorHAnsi"/>
        </w:rPr>
      </w:pPr>
      <w:bookmarkStart w:id="7" w:name="_Hlk1841341"/>
      <w:r>
        <w:rPr>
          <w:rFonts w:asciiTheme="minorHAnsi" w:hAnsiTheme="minorHAnsi" w:cstheme="minorHAnsi"/>
        </w:rPr>
        <w:t xml:space="preserve">principio contabile 4/2, punto 5.4. 8 </w:t>
      </w:r>
      <w:r>
        <w:rPr>
          <w:rFonts w:asciiTheme="minorHAnsi" w:hAnsiTheme="minorHAnsi" w:cstheme="minorHAnsi"/>
          <w:color w:val="385623" w:themeColor="accent6" w:themeShade="80"/>
        </w:rPr>
        <w:t>(*)</w:t>
      </w:r>
      <w:r>
        <w:rPr>
          <w:rFonts w:asciiTheme="minorHAnsi" w:hAnsiTheme="minorHAnsi" w:cstheme="minorHAnsi"/>
        </w:rPr>
        <w:t xml:space="preserve"> </w:t>
      </w:r>
      <w:bookmarkEnd w:id="7"/>
      <w:r>
        <w:rPr>
          <w:rFonts w:asciiTheme="minorHAnsi" w:hAnsiTheme="minorHAnsi" w:cstheme="minorHAnsi"/>
        </w:rPr>
        <w:t xml:space="preserve">- Alla fine dell’esercizio, </w:t>
      </w:r>
      <w:r>
        <w:rPr>
          <w:rFonts w:asciiTheme="minorHAnsi" w:hAnsiTheme="minorHAnsi" w:cstheme="minorHAnsi"/>
          <w:u w:val="single"/>
        </w:rPr>
        <w:t xml:space="preserve">le risorse accantonate nel FPV per il finanziamento delle spese concernenti il livello minimo di progettazione esterna o quello previsto dall’art. 36 comma 2 lettera a) del Dlgs 50/2016 </w:t>
      </w:r>
      <w:r>
        <w:rPr>
          <w:rFonts w:asciiTheme="minorHAnsi" w:hAnsiTheme="minorHAnsi" w:cstheme="minorHAnsi"/>
        </w:rPr>
        <w:t>, non ancora impegnate, possono essere conservate nel FPV determinato in sede di rendiconto a condizione che siano state formalmente attivate le relative procedure di affidamento entro il 31/12/201</w:t>
      </w:r>
      <w:r w:rsidR="007D1FC9">
        <w:rPr>
          <w:rFonts w:asciiTheme="minorHAnsi" w:hAnsiTheme="minorHAnsi" w:cstheme="minorHAnsi"/>
        </w:rPr>
        <w:t>9</w:t>
      </w:r>
      <w:r>
        <w:rPr>
          <w:rFonts w:asciiTheme="minorHAnsi" w:hAnsiTheme="minorHAnsi" w:cstheme="minorHAnsi"/>
        </w:rPr>
        <w:t>;</w:t>
      </w:r>
    </w:p>
    <w:p w:rsidR="00552F7C" w:rsidRDefault="00552F7C">
      <w:pPr>
        <w:pStyle w:val="Paragrafoelenco"/>
        <w:ind w:left="283"/>
        <w:jc w:val="both"/>
        <w:rPr>
          <w:rFonts w:asciiTheme="minorHAnsi" w:hAnsiTheme="minorHAnsi" w:cstheme="minorHAnsi"/>
        </w:rPr>
      </w:pPr>
    </w:p>
    <w:p w:rsidR="00552F7C" w:rsidRDefault="00FD4F24">
      <w:pPr>
        <w:pStyle w:val="Paragrafoelenco"/>
        <w:numPr>
          <w:ilvl w:val="0"/>
          <w:numId w:val="6"/>
        </w:numPr>
        <w:ind w:left="284" w:hanging="426"/>
        <w:jc w:val="both"/>
        <w:rPr>
          <w:rFonts w:asciiTheme="minorHAnsi" w:hAnsiTheme="minorHAnsi" w:cstheme="minorHAnsi"/>
        </w:rPr>
      </w:pPr>
      <w:r>
        <w:rPr>
          <w:rFonts w:asciiTheme="minorHAnsi" w:hAnsiTheme="minorHAnsi" w:cstheme="minorHAnsi"/>
        </w:rPr>
        <w:t xml:space="preserve">principio contabile 4/2, punto 5.4. 9 </w:t>
      </w:r>
      <w:r>
        <w:rPr>
          <w:rFonts w:asciiTheme="minorHAnsi" w:hAnsiTheme="minorHAnsi" w:cstheme="minorHAnsi"/>
          <w:color w:val="385623" w:themeColor="accent6" w:themeShade="80"/>
        </w:rPr>
        <w:t>(*)</w:t>
      </w:r>
      <w:r>
        <w:rPr>
          <w:rFonts w:asciiTheme="minorHAnsi" w:hAnsiTheme="minorHAnsi" w:cstheme="minorHAnsi"/>
        </w:rPr>
        <w:t xml:space="preserve"> - Alla fine dell’esercizio, </w:t>
      </w:r>
      <w:r>
        <w:rPr>
          <w:rFonts w:asciiTheme="minorHAnsi" w:hAnsiTheme="minorHAnsi" w:cstheme="minorHAnsi"/>
          <w:u w:val="single"/>
        </w:rPr>
        <w:t>le risorse accantonate nel FPV per il finanziamento di spese non ancora impegnate</w:t>
      </w:r>
      <w:r>
        <w:rPr>
          <w:rFonts w:asciiTheme="minorHAnsi" w:hAnsiTheme="minorHAnsi" w:cstheme="minorHAnsi"/>
        </w:rPr>
        <w:t xml:space="preserve"> per appalti pubblici di lavori di cui all’art.3 comma 1 lettera 11) </w:t>
      </w:r>
      <w:r>
        <w:rPr>
          <w:rFonts w:asciiTheme="minorHAnsi" w:hAnsiTheme="minorHAnsi" w:cstheme="minorHAnsi"/>
          <w:u w:val="single"/>
        </w:rPr>
        <w:t xml:space="preserve">Dlgs 50/2016 </w:t>
      </w:r>
      <w:r>
        <w:rPr>
          <w:rFonts w:asciiTheme="minorHAnsi" w:hAnsiTheme="minorHAnsi" w:cstheme="minorHAnsi"/>
        </w:rPr>
        <w:t>di importo pari o superiore a quello previsto dall’art.36, comma 2, lett.a) dlgs 50/2016 in materia di affidamento diretto dei contratti sotto soglia, sono interamente  conservate nel FPV determinato in sede di rendiconto  a condizione che siano rispettate le prime due condizioni, ed una delle successive:</w:t>
      </w:r>
    </w:p>
    <w:p w:rsidR="00552F7C" w:rsidRDefault="00FD4F24">
      <w:pPr>
        <w:numPr>
          <w:ilvl w:val="0"/>
          <w:numId w:val="5"/>
        </w:numPr>
        <w:contextualSpacing/>
        <w:jc w:val="both"/>
        <w:rPr>
          <w:rFonts w:eastAsia="Calibri"/>
        </w:rPr>
      </w:pPr>
      <w:r>
        <w:rPr>
          <w:rFonts w:eastAsia="Calibri"/>
        </w:rPr>
        <w:t xml:space="preserve">sono state interamente accertate le entrate che costituiscono la copertura dell’intera spesa di investimento; </w:t>
      </w:r>
      <w:r>
        <w:rPr>
          <w:rFonts w:eastAsia="Calibri"/>
          <w:i/>
        </w:rPr>
        <w:t>(condizione necessaria)</w:t>
      </w:r>
    </w:p>
    <w:p w:rsidR="00552F7C" w:rsidRDefault="00FD4F24">
      <w:pPr>
        <w:numPr>
          <w:ilvl w:val="0"/>
          <w:numId w:val="5"/>
        </w:numPr>
        <w:contextualSpacing/>
        <w:jc w:val="both"/>
        <w:rPr>
          <w:rFonts w:eastAsia="Calibri"/>
        </w:rPr>
      </w:pPr>
      <w:r>
        <w:rPr>
          <w:rFonts w:eastAsia="Calibri"/>
        </w:rPr>
        <w:t xml:space="preserve">l’intervento cui il fondo pluriennale si riferisce risulti inserito nell’ultimo programma triennale dei lavori pubblici. Tale condizione non riguarda gli appalti pubblici di lavori di valore compreso tra 40.000 e 100.000 euro; </w:t>
      </w:r>
      <w:r>
        <w:rPr>
          <w:rFonts w:eastAsia="Calibri"/>
          <w:i/>
        </w:rPr>
        <w:t>(condizione necessaria)</w:t>
      </w:r>
    </w:p>
    <w:p w:rsidR="00552F7C" w:rsidRDefault="00FD4F24">
      <w:pPr>
        <w:numPr>
          <w:ilvl w:val="0"/>
          <w:numId w:val="5"/>
        </w:numPr>
        <w:contextualSpacing/>
        <w:jc w:val="both"/>
        <w:rPr>
          <w:rFonts w:eastAsia="Calibri"/>
        </w:rPr>
      </w:pPr>
      <w:r>
        <w:rPr>
          <w:rFonts w:eastAsia="Calibri"/>
        </w:rPr>
        <w:t xml:space="preserve">le spese previste nel quadro economico di un intervento inserito nel programma triennale di cui all’articolo 21 del d.lgs. n. 50 del 2016, sono state impegnate, anche parzialmente, sulla base di obbligazioni giuridicamente perfezionate, imputate secondo esigibilità </w:t>
      </w:r>
      <w:r>
        <w:rPr>
          <w:rFonts w:eastAsia="Calibri"/>
          <w:i/>
        </w:rPr>
        <w:t xml:space="preserve">solo </w:t>
      </w:r>
      <w:r>
        <w:rPr>
          <w:rFonts w:eastAsia="Calibri"/>
        </w:rPr>
        <w:t xml:space="preserve">per l’acquisizione di terreni, espropri e occupazioni di urgenza, per la bonifica aree, per l’abbattimento delle  strutture preesistenti, per la viabilità riguardante l'accesso al cantiere, per l’allacciamento ai pubblici servizi, e </w:t>
      </w:r>
      <w:r>
        <w:rPr>
          <w:rFonts w:eastAsia="Calibri"/>
        </w:rPr>
        <w:lastRenderedPageBreak/>
        <w:t>per analoghe spese indispensabili per l’assolvimento delle attività necessarie per l’esecuzione dell’intervento da parte della controparte contrattuale.</w:t>
      </w:r>
    </w:p>
    <w:p w:rsidR="00552F7C" w:rsidRDefault="00FD4F24">
      <w:pPr>
        <w:numPr>
          <w:ilvl w:val="0"/>
          <w:numId w:val="5"/>
        </w:numPr>
        <w:contextualSpacing/>
        <w:jc w:val="both"/>
        <w:rPr>
          <w:rFonts w:eastAsia="Calibri"/>
        </w:rPr>
      </w:pPr>
      <w:r>
        <w:rPr>
          <w:rFonts w:eastAsia="Calibri"/>
        </w:rPr>
        <w:t xml:space="preserve">in assenza di impegni di cui alla lettera c) sono state formalmente attivate le procedure di affidamento </w:t>
      </w:r>
      <w:bookmarkStart w:id="8" w:name="_Hlk510150477"/>
      <w:r>
        <w:rPr>
          <w:rFonts w:eastAsia="Calibri"/>
        </w:rPr>
        <w:t xml:space="preserve">dei livelli di progettazione successivi </w:t>
      </w:r>
      <w:bookmarkEnd w:id="8"/>
      <w:r>
        <w:rPr>
          <w:rFonts w:eastAsia="Calibri"/>
        </w:rPr>
        <w:t>al minimo.</w:t>
      </w:r>
    </w:p>
    <w:p w:rsidR="00552F7C" w:rsidRDefault="00552F7C">
      <w:pPr>
        <w:contextualSpacing/>
        <w:jc w:val="both"/>
        <w:rPr>
          <w:rFonts w:eastAsia="Calibri"/>
        </w:rPr>
      </w:pPr>
    </w:p>
    <w:p w:rsidR="00552F7C" w:rsidRDefault="00FD4F24">
      <w:pPr>
        <w:jc w:val="both"/>
        <w:rPr>
          <w:rFonts w:eastAsia="Calibri"/>
        </w:rPr>
      </w:pPr>
      <w:r>
        <w:rPr>
          <w:rFonts w:asciiTheme="minorHAnsi" w:hAnsiTheme="minorHAnsi" w:cstheme="minorHAnsi"/>
        </w:rPr>
        <w:t>Si ricorda che i</w:t>
      </w:r>
      <w:r>
        <w:rPr>
          <w:rFonts w:eastAsia="Calibri"/>
        </w:rPr>
        <w:t>n assenza di aggiudicazione definitiva, entro l’esercizio 20</w:t>
      </w:r>
      <w:r w:rsidR="007D1FC9">
        <w:rPr>
          <w:rFonts w:eastAsia="Calibri"/>
        </w:rPr>
        <w:t>20</w:t>
      </w:r>
      <w:r>
        <w:rPr>
          <w:rFonts w:eastAsia="Calibri"/>
        </w:rPr>
        <w:t>, le risorse accertate ma non ancora impegnate, cui il fondo pluriennale si riferisce, confluiscono nel risultato di amministrazione disponibile destinato o vincolato in relazione alla fonte di finanziamento per la riprogrammazione dell’intervento in c/capitale ed il fondo pluriennale deve essere ridotto di pari importo.</w:t>
      </w:r>
    </w:p>
    <w:p w:rsidR="00552F7C" w:rsidRPr="00215FEE" w:rsidRDefault="00FD4F24">
      <w:pPr>
        <w:rPr>
          <w:rFonts w:asciiTheme="minorHAnsi" w:hAnsiTheme="minorHAnsi" w:cstheme="minorHAnsi"/>
          <w:b/>
          <w:bCs/>
          <w:color w:val="FF0000"/>
        </w:rPr>
      </w:pPr>
      <w:r>
        <w:rPr>
          <w:rFonts w:asciiTheme="minorHAnsi" w:hAnsiTheme="minorHAnsi" w:cstheme="minorHAnsi"/>
        </w:rPr>
        <w:t>L’evoluzione del FPV è la seguente:</w:t>
      </w:r>
      <w:r w:rsidR="00215FEE">
        <w:rPr>
          <w:rFonts w:asciiTheme="minorHAnsi" w:hAnsiTheme="minorHAnsi" w:cstheme="minorHAnsi"/>
        </w:rPr>
        <w:t xml:space="preserve">      </w:t>
      </w:r>
    </w:p>
    <w:bookmarkStart w:id="9" w:name="_MON_1645541974"/>
    <w:bookmarkEnd w:id="9"/>
    <w:p w:rsidR="00AE562D" w:rsidRDefault="00E5495A">
      <w:pPr>
        <w:rPr>
          <w:rFonts w:asciiTheme="minorHAnsi" w:hAnsiTheme="minorHAnsi" w:cstheme="minorHAnsi"/>
        </w:rPr>
      </w:pPr>
      <w:r w:rsidRPr="00843AB2">
        <w:rPr>
          <w:rFonts w:asciiTheme="minorHAnsi" w:hAnsiTheme="minorHAnsi" w:cstheme="minorHAnsi"/>
          <w:color w:val="FF0000"/>
        </w:rPr>
        <w:object w:dxaOrig="11327" w:dyaOrig="7163">
          <v:shape id="_x0000_i1030" type="#_x0000_t75" style="width:568.5pt;height:357.75pt" o:ole="">
            <v:imagedata r:id="rId25" o:title=""/>
          </v:shape>
          <o:OLEObject Type="Embed" ProgID="Excel.Sheet.12" ShapeID="_x0000_i1030" DrawAspect="Content" ObjectID="_1645951300" r:id="rId26"/>
        </w:object>
      </w:r>
    </w:p>
    <w:p w:rsidR="00552F7C" w:rsidRDefault="00AE562D">
      <w:pPr>
        <w:spacing w:after="160" w:line="259" w:lineRule="auto"/>
        <w:rPr>
          <w:rFonts w:asciiTheme="minorHAnsi" w:hAnsiTheme="minorHAnsi" w:cstheme="minorHAnsi"/>
          <w:b/>
          <w:bCs/>
          <w:i/>
          <w:color w:val="538135" w:themeColor="accent6" w:themeShade="BF"/>
          <w:sz w:val="16"/>
          <w:szCs w:val="16"/>
        </w:rPr>
      </w:pPr>
      <w:r>
        <w:rPr>
          <w:rFonts w:asciiTheme="minorHAnsi" w:hAnsiTheme="minorHAnsi" w:cstheme="minorHAnsi"/>
          <w:b/>
          <w:bCs/>
          <w:i/>
          <w:color w:val="538135" w:themeColor="accent6" w:themeShade="BF"/>
          <w:sz w:val="16"/>
          <w:szCs w:val="16"/>
        </w:rPr>
        <w:t xml:space="preserve"> </w:t>
      </w:r>
      <w:r w:rsidR="00FD4F24">
        <w:rPr>
          <w:rFonts w:asciiTheme="minorHAnsi" w:hAnsiTheme="minorHAnsi" w:cstheme="minorHAnsi"/>
          <w:b/>
          <w:bCs/>
          <w:i/>
          <w:color w:val="538135" w:themeColor="accent6" w:themeShade="BF"/>
          <w:sz w:val="16"/>
          <w:szCs w:val="16"/>
        </w:rPr>
        <w:t>(*) solo per gli enti sperimentatori</w:t>
      </w:r>
    </w:p>
    <w:p w:rsidR="00AE562D" w:rsidRDefault="00AE562D">
      <w:pPr>
        <w:spacing w:after="160" w:line="259" w:lineRule="auto"/>
        <w:rPr>
          <w:rFonts w:asciiTheme="minorHAnsi" w:hAnsiTheme="minorHAnsi" w:cstheme="minorHAnsi"/>
          <w:b/>
          <w:bCs/>
          <w:i/>
          <w:color w:val="538135" w:themeColor="accent6" w:themeShade="BF"/>
          <w:sz w:val="16"/>
          <w:szCs w:val="16"/>
        </w:rPr>
      </w:pPr>
    </w:p>
    <w:p w:rsidR="00AE562D" w:rsidRDefault="00AE562D">
      <w:pPr>
        <w:spacing w:after="160" w:line="259" w:lineRule="auto"/>
        <w:rPr>
          <w:rFonts w:asciiTheme="minorHAnsi" w:hAnsiTheme="minorHAnsi" w:cstheme="minorHAnsi"/>
          <w:b/>
          <w:bCs/>
          <w:i/>
          <w:color w:val="538135" w:themeColor="accent6" w:themeShade="BF"/>
          <w:sz w:val="16"/>
          <w:szCs w:val="16"/>
        </w:rPr>
      </w:pPr>
    </w:p>
    <w:p w:rsidR="00AE562D" w:rsidRDefault="00AE562D">
      <w:pPr>
        <w:spacing w:after="160" w:line="259" w:lineRule="auto"/>
        <w:rPr>
          <w:rFonts w:asciiTheme="minorHAnsi" w:hAnsiTheme="minorHAnsi" w:cstheme="minorHAnsi"/>
          <w:b/>
          <w:bCs/>
          <w:i/>
          <w:color w:val="538135" w:themeColor="accent6" w:themeShade="BF"/>
          <w:sz w:val="16"/>
          <w:szCs w:val="16"/>
        </w:rPr>
      </w:pPr>
    </w:p>
    <w:p w:rsidR="00AE562D" w:rsidRDefault="00AE562D">
      <w:pPr>
        <w:spacing w:after="160" w:line="259" w:lineRule="auto"/>
        <w:rPr>
          <w:rFonts w:asciiTheme="minorHAnsi" w:hAnsiTheme="minorHAnsi" w:cstheme="minorHAnsi"/>
          <w:b/>
          <w:bCs/>
          <w:i/>
          <w:color w:val="538135" w:themeColor="accent6" w:themeShade="BF"/>
          <w:sz w:val="16"/>
          <w:szCs w:val="16"/>
        </w:rPr>
      </w:pPr>
    </w:p>
    <w:p w:rsidR="00AE562D" w:rsidRDefault="00AE562D">
      <w:pPr>
        <w:spacing w:after="160" w:line="259" w:lineRule="auto"/>
        <w:rPr>
          <w:rFonts w:asciiTheme="minorHAnsi" w:hAnsiTheme="minorHAnsi" w:cstheme="minorHAnsi"/>
          <w:b/>
          <w:bCs/>
          <w:i/>
          <w:color w:val="538135" w:themeColor="accent6" w:themeShade="BF"/>
          <w:sz w:val="16"/>
          <w:szCs w:val="16"/>
        </w:rPr>
      </w:pPr>
    </w:p>
    <w:p w:rsidR="00AE562D" w:rsidRDefault="00AE562D">
      <w:pPr>
        <w:spacing w:after="160" w:line="259" w:lineRule="auto"/>
        <w:rPr>
          <w:rFonts w:asciiTheme="minorHAnsi" w:hAnsiTheme="minorHAnsi" w:cstheme="minorHAnsi"/>
          <w:b/>
          <w:bCs/>
          <w:i/>
          <w:color w:val="538135" w:themeColor="accent6" w:themeShade="BF"/>
          <w:sz w:val="16"/>
          <w:szCs w:val="16"/>
        </w:rPr>
      </w:pPr>
      <w:bookmarkStart w:id="10" w:name="_GoBack"/>
      <w:bookmarkEnd w:id="10"/>
    </w:p>
    <w:p w:rsidR="00AE562D" w:rsidRDefault="00AE562D">
      <w:pPr>
        <w:spacing w:after="160" w:line="259" w:lineRule="auto"/>
        <w:rPr>
          <w:rFonts w:asciiTheme="minorHAnsi" w:hAnsiTheme="minorHAnsi" w:cstheme="minorHAnsi"/>
          <w:b/>
          <w:bCs/>
          <w:i/>
          <w:color w:val="538135" w:themeColor="accent6" w:themeShade="BF"/>
          <w:sz w:val="16"/>
          <w:szCs w:val="16"/>
        </w:rPr>
      </w:pPr>
    </w:p>
    <w:bookmarkStart w:id="11" w:name="_MON_1645544411"/>
    <w:bookmarkEnd w:id="11"/>
    <w:p w:rsidR="00AE562D" w:rsidRDefault="00E5495A">
      <w:pPr>
        <w:spacing w:after="160" w:line="259" w:lineRule="auto"/>
        <w:rPr>
          <w:rFonts w:asciiTheme="minorHAnsi" w:hAnsiTheme="minorHAnsi" w:cstheme="minorHAnsi"/>
          <w:b/>
          <w:bCs/>
          <w:i/>
          <w:color w:val="538135" w:themeColor="accent6" w:themeShade="BF"/>
          <w:sz w:val="16"/>
          <w:szCs w:val="16"/>
        </w:rPr>
      </w:pPr>
      <w:r w:rsidRPr="00843AB2">
        <w:rPr>
          <w:rFonts w:asciiTheme="minorHAnsi" w:hAnsiTheme="minorHAnsi" w:cstheme="minorHAnsi"/>
          <w:b/>
          <w:bCs/>
          <w:i/>
          <w:color w:val="538135" w:themeColor="accent6" w:themeShade="BF"/>
        </w:rPr>
        <w:object w:dxaOrig="13331" w:dyaOrig="5845">
          <v:shape id="_x0000_i1031" type="#_x0000_t75" style="width:475.5pt;height:210pt" o:ole="">
            <v:imagedata r:id="rId27" o:title=""/>
          </v:shape>
          <o:OLEObject Type="Embed" ProgID="Excel.Sheet.12" ShapeID="_x0000_i1031" DrawAspect="Content" ObjectID="_1645951301" r:id="rId28"/>
        </w:object>
      </w:r>
    </w:p>
    <w:p w:rsidR="003C775F" w:rsidRDefault="003C775F">
      <w:pPr>
        <w:spacing w:after="160" w:line="259" w:lineRule="auto"/>
        <w:rPr>
          <w:rFonts w:asciiTheme="minorHAnsi" w:hAnsiTheme="minorHAnsi" w:cstheme="minorHAnsi"/>
          <w:b/>
          <w:bCs/>
          <w:i/>
          <w:color w:val="538135" w:themeColor="accent6" w:themeShade="BF"/>
          <w:sz w:val="16"/>
          <w:szCs w:val="16"/>
        </w:rPr>
      </w:pPr>
    </w:p>
    <w:p w:rsidR="00E77969" w:rsidRDefault="00E77969">
      <w:pPr>
        <w:spacing w:after="160" w:line="259" w:lineRule="auto"/>
        <w:rPr>
          <w:rFonts w:asciiTheme="minorHAnsi" w:hAnsiTheme="minorHAnsi" w:cstheme="minorHAnsi"/>
          <w:b/>
          <w:bCs/>
          <w:i/>
          <w:color w:val="538135" w:themeColor="accent6" w:themeShade="BF"/>
          <w:sz w:val="16"/>
          <w:szCs w:val="16"/>
        </w:rPr>
      </w:pP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spacing w:after="160" w:line="259" w:lineRule="auto"/>
        <w:rPr>
          <w:rFonts w:asciiTheme="minorHAnsi" w:hAnsiTheme="minorHAnsi" w:cstheme="minorHAnsi"/>
          <w:b/>
        </w:rPr>
      </w:pPr>
      <w:r>
        <w:rPr>
          <w:rFonts w:asciiTheme="minorHAnsi" w:hAnsiTheme="minorHAnsi" w:cstheme="minorHAnsi"/>
          <w:b/>
          <w:bCs/>
        </w:rPr>
        <w:t>5  – RESIDUI ATTIVI E PASSIVI DETERMINATI CON IL CONTO DEL BILANCIO 201</w:t>
      </w:r>
      <w:r w:rsidR="009440BA">
        <w:rPr>
          <w:rFonts w:asciiTheme="minorHAnsi" w:hAnsiTheme="minorHAnsi" w:cstheme="minorHAnsi"/>
          <w:b/>
          <w:bCs/>
        </w:rPr>
        <w:t>8</w:t>
      </w:r>
    </w:p>
    <w:p w:rsidR="00552F7C" w:rsidRDefault="00FD4F24">
      <w:pPr>
        <w:jc w:val="both"/>
        <w:rPr>
          <w:rFonts w:asciiTheme="minorHAnsi" w:hAnsiTheme="minorHAnsi" w:cstheme="minorHAnsi"/>
        </w:rPr>
      </w:pPr>
      <w:r>
        <w:rPr>
          <w:rFonts w:asciiTheme="minorHAnsi" w:hAnsiTheme="minorHAnsi" w:cstheme="minorHAnsi"/>
        </w:rPr>
        <w:t xml:space="preserve">In base ai principi contabili non è possibile reimputare i residui attivi e passivi precedentemente approvati con il rendiconto. Dal prospetto dei </w:t>
      </w:r>
      <w:r>
        <w:rPr>
          <w:rFonts w:asciiTheme="minorHAnsi" w:hAnsiTheme="minorHAnsi" w:cstheme="minorHAnsi"/>
          <w:u w:val="single"/>
        </w:rPr>
        <w:t>residui attivi</w:t>
      </w:r>
      <w:r>
        <w:rPr>
          <w:rFonts w:asciiTheme="minorHAnsi" w:hAnsiTheme="minorHAnsi" w:cstheme="minorHAnsi"/>
        </w:rPr>
        <w:t xml:space="preserve"> al 31/12/201</w:t>
      </w:r>
      <w:r w:rsidR="00E77969">
        <w:rPr>
          <w:rFonts w:asciiTheme="minorHAnsi" w:hAnsiTheme="minorHAnsi" w:cstheme="minorHAnsi"/>
        </w:rPr>
        <w:t>9</w:t>
      </w:r>
      <w:r>
        <w:rPr>
          <w:rFonts w:asciiTheme="minorHAnsi" w:hAnsiTheme="minorHAnsi" w:cstheme="minorHAnsi"/>
        </w:rPr>
        <w:t>, risulta che:</w:t>
      </w:r>
    </w:p>
    <w:bookmarkStart w:id="12" w:name="_MON_1615641564"/>
    <w:bookmarkEnd w:id="12"/>
    <w:p w:rsidR="00552F7C" w:rsidRDefault="00057C17">
      <w:pPr>
        <w:jc w:val="center"/>
        <w:rPr>
          <w:rFonts w:asciiTheme="minorHAnsi" w:hAnsiTheme="minorHAnsi" w:cstheme="minorHAnsi"/>
        </w:rPr>
      </w:pPr>
      <w:r w:rsidRPr="002139DC">
        <w:rPr>
          <w:rFonts w:asciiTheme="minorHAnsi" w:hAnsiTheme="minorHAnsi" w:cstheme="minorHAnsi"/>
        </w:rPr>
        <w:object w:dxaOrig="8419" w:dyaOrig="4067">
          <v:shape id="_x0000_i1032" type="#_x0000_t75" style="width:420.75pt;height:204pt" o:ole="">
            <v:imagedata r:id="rId29" o:title=""/>
          </v:shape>
          <o:OLEObject Type="Embed" ProgID="Excel.Sheet.12" ShapeID="_x0000_i1032" DrawAspect="Content" ObjectID="_1645951302" r:id="rId30"/>
        </w:object>
      </w:r>
    </w:p>
    <w:p w:rsidR="00552F7C" w:rsidRDefault="00FD4F24">
      <w:pPr>
        <w:jc w:val="both"/>
        <w:rPr>
          <w:rFonts w:asciiTheme="minorHAnsi" w:hAnsiTheme="minorHAnsi" w:cstheme="minorHAnsi"/>
        </w:rPr>
      </w:pPr>
      <w:bookmarkStart w:id="13" w:name="_MON_1489822935"/>
      <w:bookmarkEnd w:id="13"/>
      <w:r>
        <w:rPr>
          <w:rFonts w:asciiTheme="minorHAnsi" w:hAnsiTheme="minorHAnsi" w:cstheme="minorHAnsi"/>
        </w:rPr>
        <w:t>Dall’esame è risultato che le entrate sono state regolarmente accertate in ossequio alle regole stabilite dal principio contabile 4/2 e che i residui attivi conservati sono relativi ad entrate accertate esigibili nell’esercizio 2018, ma non incassate. Per il calcolo dell’accantonamento al FCDE sulla base dei residui attivi conservati si rinvia alla relazione al rendiconto.</w:t>
      </w:r>
    </w:p>
    <w:p w:rsidR="003C775F" w:rsidRDefault="003C775F">
      <w:pPr>
        <w:rPr>
          <w:rFonts w:asciiTheme="minorHAnsi" w:hAnsiTheme="minorHAnsi" w:cstheme="minorHAnsi"/>
        </w:rPr>
      </w:pPr>
    </w:p>
    <w:p w:rsidR="00552F7C" w:rsidRDefault="00FD4F24">
      <w:pPr>
        <w:rPr>
          <w:rFonts w:asciiTheme="minorHAnsi" w:hAnsiTheme="minorHAnsi" w:cstheme="minorHAnsi"/>
        </w:rPr>
      </w:pPr>
      <w:r>
        <w:rPr>
          <w:rFonts w:asciiTheme="minorHAnsi" w:hAnsiTheme="minorHAnsi" w:cstheme="minorHAnsi"/>
        </w:rPr>
        <w:lastRenderedPageBreak/>
        <w:t xml:space="preserve">Dal prospetto dei </w:t>
      </w:r>
      <w:r>
        <w:rPr>
          <w:rFonts w:asciiTheme="minorHAnsi" w:hAnsiTheme="minorHAnsi" w:cstheme="minorHAnsi"/>
          <w:u w:val="single"/>
        </w:rPr>
        <w:t>residui passivi</w:t>
      </w:r>
      <w:r>
        <w:rPr>
          <w:rFonts w:asciiTheme="minorHAnsi" w:hAnsiTheme="minorHAnsi" w:cstheme="minorHAnsi"/>
        </w:rPr>
        <w:t xml:space="preserve"> al 31/12/201</w:t>
      </w:r>
      <w:r w:rsidR="00ED0821">
        <w:rPr>
          <w:rFonts w:asciiTheme="minorHAnsi" w:hAnsiTheme="minorHAnsi" w:cstheme="minorHAnsi"/>
        </w:rPr>
        <w:t>9</w:t>
      </w:r>
      <w:r>
        <w:rPr>
          <w:rFonts w:asciiTheme="minorHAnsi" w:hAnsiTheme="minorHAnsi" w:cstheme="minorHAnsi"/>
        </w:rPr>
        <w:t xml:space="preserve"> risulta che: </w:t>
      </w:r>
    </w:p>
    <w:bookmarkStart w:id="14" w:name="_MON_1615641810"/>
    <w:bookmarkEnd w:id="14"/>
    <w:p w:rsidR="00552F7C" w:rsidRDefault="006652B6">
      <w:pPr>
        <w:jc w:val="center"/>
        <w:rPr>
          <w:rFonts w:asciiTheme="minorHAnsi" w:hAnsiTheme="minorHAnsi" w:cstheme="minorHAnsi"/>
          <w:b/>
        </w:rPr>
      </w:pPr>
      <w:r w:rsidRPr="002139DC">
        <w:rPr>
          <w:rFonts w:asciiTheme="minorHAnsi" w:hAnsiTheme="minorHAnsi" w:cstheme="minorHAnsi"/>
          <w:b/>
        </w:rPr>
        <w:object w:dxaOrig="7209" w:dyaOrig="3209">
          <v:shape id="_x0000_i1033" type="#_x0000_t75" style="width:360.75pt;height:161.25pt" o:ole="">
            <v:imagedata r:id="rId31" o:title=""/>
          </v:shape>
          <o:OLEObject Type="Embed" ProgID="Excel.Sheet.12" ShapeID="_x0000_i1033" DrawAspect="Content" ObjectID="_1645951303" r:id="rId32"/>
        </w:object>
      </w:r>
    </w:p>
    <w:p w:rsidR="003D2C4B" w:rsidRDefault="003D2C4B">
      <w:pPr>
        <w:jc w:val="both"/>
        <w:rPr>
          <w:rFonts w:asciiTheme="minorHAnsi" w:hAnsiTheme="minorHAnsi" w:cstheme="minorHAnsi"/>
        </w:rPr>
      </w:pPr>
    </w:p>
    <w:p w:rsidR="00552F7C" w:rsidRPr="003C775F" w:rsidRDefault="00FD4F24">
      <w:pPr>
        <w:jc w:val="both"/>
        <w:rPr>
          <w:rFonts w:asciiTheme="minorHAnsi" w:hAnsiTheme="minorHAnsi" w:cstheme="minorHAnsi"/>
        </w:rPr>
      </w:pPr>
      <w:r w:rsidRPr="003C775F">
        <w:rPr>
          <w:rFonts w:asciiTheme="minorHAnsi" w:hAnsiTheme="minorHAnsi" w:cstheme="minorHAnsi"/>
        </w:rPr>
        <w:t>Dall’esame risulta che le spese sono state regolarmente impegnate in ossequio alle regole stabilite dal principio contabile 4/2 e che i residui passivi conservati sono relativi a spese impegnate, liquidate o liquidabili nel corso dell’esercizio, ma non pagate</w:t>
      </w:r>
      <w:r w:rsidR="003C775F">
        <w:rPr>
          <w:rFonts w:asciiTheme="minorHAnsi" w:hAnsiTheme="minorHAnsi" w:cstheme="minorHAnsi"/>
        </w:rPr>
        <w:t>.</w:t>
      </w:r>
    </w:p>
    <w:p w:rsidR="00552F7C" w:rsidRDefault="00552F7C">
      <w:pPr>
        <w:spacing w:after="160" w:line="259" w:lineRule="auto"/>
        <w:rPr>
          <w:rFonts w:asciiTheme="minorHAnsi" w:hAnsiTheme="minorHAnsi" w:cstheme="minorHAnsi"/>
          <w:b/>
        </w:rPr>
      </w:pP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6. ELIMINAZIONE O RIDUZIONE DI RESIDUI PASSIVI FINANZIATI CON ENTRATE A DESTINAZIONE VINCOLATA</w:t>
      </w:r>
    </w:p>
    <w:p w:rsidR="00552F7C" w:rsidRDefault="00FD4F24">
      <w:pPr>
        <w:jc w:val="both"/>
        <w:rPr>
          <w:rFonts w:asciiTheme="minorHAnsi" w:hAnsiTheme="minorHAnsi" w:cstheme="minorHAnsi"/>
        </w:rPr>
      </w:pPr>
      <w:r>
        <w:rPr>
          <w:rFonts w:asciiTheme="minorHAnsi" w:hAnsiTheme="minorHAnsi" w:cstheme="minorHAnsi"/>
        </w:rPr>
        <w:t xml:space="preserve">L’Organo di revisione ha verificato il rispetto del principio contabile applicato 4/2, nella parte che richiede di rilevare le </w:t>
      </w:r>
      <w:r>
        <w:rPr>
          <w:rFonts w:asciiTheme="minorHAnsi" w:hAnsiTheme="minorHAnsi" w:cstheme="minorHAnsi"/>
          <w:b/>
        </w:rPr>
        <w:t>economie di spese</w:t>
      </w:r>
      <w:r>
        <w:rPr>
          <w:rFonts w:asciiTheme="minorHAnsi" w:hAnsiTheme="minorHAnsi" w:cstheme="minorHAnsi"/>
        </w:rPr>
        <w:t xml:space="preserve"> finanziate con entrata a destinazione vincolata nell’avanzo di amministrazione fondi vincolati, che al punto 9.1 prescrive che l’economia mantiene lo stesso vincolo applicato all’avanzo di amministrazione, laddove presente, ed è immediatamente applicabile al bilancio dell’esercizio successivo, nel caso del 2019.</w:t>
      </w:r>
    </w:p>
    <w:p w:rsidR="001F0A1F" w:rsidRDefault="001F0A1F">
      <w:pPr>
        <w:jc w:val="both"/>
        <w:rPr>
          <w:rFonts w:asciiTheme="minorHAnsi" w:hAnsiTheme="minorHAnsi" w:cstheme="minorHAnsi"/>
        </w:rPr>
      </w:pPr>
    </w:p>
    <w:p w:rsidR="00552F7C" w:rsidRDefault="00552F7C">
      <w:pPr>
        <w:numPr>
          <w:ilvl w:val="12"/>
          <w:numId w:val="0"/>
        </w:numPr>
        <w:spacing w:after="120"/>
        <w:jc w:val="both"/>
        <w:rPr>
          <w:rFonts w:asciiTheme="minorHAnsi" w:hAnsiTheme="minorHAnsi" w:cstheme="minorHAnsi"/>
          <w:lang w:eastAsia="it-IT"/>
        </w:rPr>
      </w:pPr>
    </w:p>
    <w:p w:rsidR="00552F7C" w:rsidRDefault="00552F7C">
      <w:pPr>
        <w:numPr>
          <w:ilvl w:val="12"/>
          <w:numId w:val="0"/>
        </w:numPr>
        <w:spacing w:after="120"/>
        <w:jc w:val="both"/>
        <w:rPr>
          <w:rFonts w:asciiTheme="minorHAnsi" w:hAnsiTheme="minorHAnsi" w:cstheme="minorHAnsi"/>
          <w:lang w:eastAsia="it-IT"/>
        </w:rPr>
      </w:pPr>
    </w:p>
    <w:p w:rsidR="00552F7C" w:rsidRDefault="00852CE7">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7</w:t>
      </w:r>
      <w:r w:rsidR="00FD4F24">
        <w:rPr>
          <w:rFonts w:asciiTheme="minorHAnsi" w:hAnsiTheme="minorHAnsi" w:cstheme="minorHAnsi"/>
          <w:b/>
        </w:rPr>
        <w:t>. RICLASSIFICAZIONE RESIDUI ATTIVI E PASSIVI</w:t>
      </w:r>
    </w:p>
    <w:p w:rsidR="00552F7C" w:rsidRDefault="00FD4F24">
      <w:pPr>
        <w:pStyle w:val="Default"/>
        <w:jc w:val="both"/>
        <w:rPr>
          <w:rFonts w:asciiTheme="minorHAnsi" w:hAnsiTheme="minorHAnsi" w:cstheme="minorHAnsi"/>
          <w:color w:val="auto"/>
          <w:sz w:val="22"/>
          <w:szCs w:val="22"/>
          <w:lang w:eastAsia="it-IT"/>
        </w:rPr>
      </w:pPr>
      <w:r>
        <w:rPr>
          <w:rFonts w:asciiTheme="minorHAnsi" w:hAnsiTheme="minorHAnsi" w:cstheme="minorHAnsi"/>
          <w:color w:val="auto"/>
          <w:sz w:val="22"/>
          <w:szCs w:val="22"/>
          <w:lang w:eastAsia="it-IT"/>
        </w:rPr>
        <w:t>L’ente ha provveduto alla riclassificazione in bilancio di crediti e debiti non correttamente classificati rispettando le indicazioni del punto 9.1 del principio contabile applicato 4/2</w:t>
      </w:r>
      <w:r w:rsidR="001A57E6">
        <w:rPr>
          <w:rFonts w:asciiTheme="minorHAnsi" w:hAnsiTheme="minorHAnsi" w:cstheme="minorHAnsi"/>
          <w:color w:val="auto"/>
          <w:sz w:val="22"/>
          <w:szCs w:val="22"/>
          <w:lang w:eastAsia="it-IT"/>
        </w:rPr>
        <w:t>.</w:t>
      </w:r>
    </w:p>
    <w:p w:rsidR="00552F7C" w:rsidRDefault="00552F7C">
      <w:pPr>
        <w:pStyle w:val="Default"/>
        <w:jc w:val="both"/>
        <w:rPr>
          <w:rFonts w:asciiTheme="minorHAnsi" w:hAnsiTheme="minorHAnsi" w:cstheme="minorHAnsi"/>
          <w:b/>
          <w:color w:val="auto"/>
          <w:sz w:val="22"/>
          <w:szCs w:val="22"/>
          <w:lang w:eastAsia="it-IT"/>
        </w:rPr>
      </w:pPr>
    </w:p>
    <w:p w:rsidR="00552F7C" w:rsidRDefault="00552F7C">
      <w:pPr>
        <w:spacing w:after="160" w:line="259" w:lineRule="auto"/>
        <w:rPr>
          <w:rFonts w:asciiTheme="minorHAnsi" w:hAnsiTheme="minorHAnsi" w:cstheme="minorHAnsi"/>
          <w:lang w:eastAsia="it-IT"/>
        </w:rPr>
      </w:pPr>
    </w:p>
    <w:p w:rsidR="0016565F" w:rsidRDefault="0016565F">
      <w:pPr>
        <w:spacing w:after="160" w:line="259" w:lineRule="auto"/>
        <w:rPr>
          <w:rFonts w:asciiTheme="minorHAnsi" w:hAnsiTheme="minorHAnsi" w:cstheme="minorHAnsi"/>
          <w:lang w:eastAsia="it-IT"/>
        </w:rPr>
      </w:pPr>
    </w:p>
    <w:p w:rsidR="0016565F" w:rsidRDefault="0016565F">
      <w:pPr>
        <w:spacing w:after="160" w:line="259" w:lineRule="auto"/>
        <w:rPr>
          <w:rFonts w:asciiTheme="minorHAnsi" w:hAnsiTheme="minorHAnsi" w:cstheme="minorHAnsi"/>
          <w:lang w:eastAsia="it-IT"/>
        </w:rPr>
      </w:pPr>
    </w:p>
    <w:p w:rsidR="0016565F" w:rsidRDefault="0016565F">
      <w:pPr>
        <w:spacing w:after="160" w:line="259" w:lineRule="auto"/>
        <w:rPr>
          <w:rFonts w:asciiTheme="minorHAnsi" w:hAnsiTheme="minorHAnsi" w:cstheme="minorHAnsi"/>
          <w:lang w:eastAsia="it-IT"/>
        </w:rPr>
      </w:pPr>
    </w:p>
    <w:p w:rsidR="00552F7C" w:rsidRDefault="00552F7C">
      <w:pPr>
        <w:pStyle w:val="Default"/>
        <w:jc w:val="both"/>
        <w:rPr>
          <w:rFonts w:asciiTheme="minorHAnsi" w:hAnsiTheme="minorHAnsi" w:cstheme="minorHAnsi"/>
          <w:color w:val="auto"/>
          <w:sz w:val="22"/>
          <w:szCs w:val="22"/>
          <w:lang w:eastAsia="it-IT"/>
        </w:rPr>
      </w:pPr>
    </w:p>
    <w:p w:rsidR="00552F7C" w:rsidRDefault="00852CE7">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8</w:t>
      </w:r>
      <w:r w:rsidR="00FD4F24">
        <w:rPr>
          <w:rFonts w:asciiTheme="minorHAnsi" w:hAnsiTheme="minorHAnsi" w:cstheme="minorHAnsi"/>
          <w:b/>
        </w:rPr>
        <w:t>. RISULTANZE FINALI DELL’AMMONTARE COMPLESSIVO DEI RESIDU</w:t>
      </w:r>
      <w:r w:rsidR="00ED0821">
        <w:rPr>
          <w:rFonts w:asciiTheme="minorHAnsi" w:hAnsiTheme="minorHAnsi" w:cstheme="minorHAnsi"/>
          <w:b/>
        </w:rPr>
        <w:t>I ATTIVI E PASSIVI AL 31/12/2019</w:t>
      </w:r>
    </w:p>
    <w:p w:rsidR="00552F7C" w:rsidRDefault="00552F7C">
      <w:pPr>
        <w:pStyle w:val="Default"/>
        <w:jc w:val="both"/>
        <w:rPr>
          <w:rFonts w:asciiTheme="minorHAnsi" w:hAnsiTheme="minorHAnsi" w:cstheme="minorHAnsi"/>
          <w:color w:val="auto"/>
          <w:sz w:val="22"/>
          <w:szCs w:val="22"/>
          <w:lang w:eastAsia="it-IT"/>
        </w:rPr>
      </w:pPr>
    </w:p>
    <w:p w:rsidR="00552F7C" w:rsidRDefault="00FD4F24">
      <w:pPr>
        <w:autoSpaceDE w:val="0"/>
        <w:autoSpaceDN w:val="0"/>
        <w:adjustRightInd w:val="0"/>
        <w:spacing w:after="0" w:line="360" w:lineRule="auto"/>
        <w:jc w:val="both"/>
        <w:rPr>
          <w:rFonts w:asciiTheme="minorHAnsi" w:hAnsiTheme="minorHAnsi" w:cstheme="minorHAnsi"/>
          <w:b/>
        </w:rPr>
      </w:pPr>
      <w:r>
        <w:rPr>
          <w:rFonts w:asciiTheme="minorHAnsi" w:hAnsiTheme="minorHAnsi" w:cstheme="minorHAnsi"/>
          <w:b/>
        </w:rPr>
        <w:t xml:space="preserve">Risultanze residui attivi: </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Residui attivi conservati (compreso il titolo 9) euro </w:t>
      </w:r>
      <w:r w:rsidR="009440BA">
        <w:rPr>
          <w:rFonts w:asciiTheme="minorHAnsi" w:hAnsiTheme="minorHAnsi" w:cstheme="minorHAnsi"/>
        </w:rPr>
        <w:t>16.106.565,28</w:t>
      </w:r>
      <w:r>
        <w:rPr>
          <w:rFonts w:asciiTheme="minorHAnsi" w:hAnsiTheme="minorHAnsi" w:cstheme="minorHAnsi"/>
        </w:rPr>
        <w:t xml:space="preserve"> di cui: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euro </w:t>
      </w:r>
      <w:r w:rsidR="009440BA">
        <w:rPr>
          <w:rFonts w:asciiTheme="minorHAnsi" w:hAnsiTheme="minorHAnsi" w:cstheme="minorHAnsi"/>
        </w:rPr>
        <w:t>13.076.157,01</w:t>
      </w:r>
      <w:r>
        <w:rPr>
          <w:rFonts w:asciiTheme="minorHAnsi" w:hAnsiTheme="minorHAnsi" w:cstheme="minorHAnsi"/>
        </w:rPr>
        <w:t xml:space="preserve"> da gestione residui; </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 euro </w:t>
      </w:r>
      <w:r w:rsidR="001B659D">
        <w:rPr>
          <w:rFonts w:asciiTheme="minorHAnsi" w:hAnsiTheme="minorHAnsi" w:cstheme="minorHAnsi"/>
        </w:rPr>
        <w:t>3.</w:t>
      </w:r>
      <w:r w:rsidR="009440BA">
        <w:rPr>
          <w:rFonts w:asciiTheme="minorHAnsi" w:hAnsiTheme="minorHAnsi" w:cstheme="minorHAnsi"/>
        </w:rPr>
        <w:t>030.408,27</w:t>
      </w:r>
      <w:r>
        <w:rPr>
          <w:rFonts w:asciiTheme="minorHAnsi" w:hAnsiTheme="minorHAnsi" w:cstheme="minorHAnsi"/>
        </w:rPr>
        <w:t xml:space="preserve"> da gestione competenza 201</w:t>
      </w:r>
      <w:r w:rsidR="00ED0821">
        <w:rPr>
          <w:rFonts w:asciiTheme="minorHAnsi" w:hAnsiTheme="minorHAnsi" w:cstheme="minorHAnsi"/>
        </w:rPr>
        <w:t>9</w:t>
      </w:r>
      <w:r>
        <w:rPr>
          <w:rFonts w:asciiTheme="minorHAnsi" w:hAnsiTheme="minorHAnsi" w:cstheme="minorHAnsi"/>
        </w:rPr>
        <w:t xml:space="preserve">. </w:t>
      </w:r>
    </w:p>
    <w:p w:rsidR="00552F7C" w:rsidRDefault="00FD4F24">
      <w:pPr>
        <w:autoSpaceDE w:val="0"/>
        <w:autoSpaceDN w:val="0"/>
        <w:adjustRightInd w:val="0"/>
        <w:spacing w:after="0" w:line="360" w:lineRule="auto"/>
        <w:jc w:val="both"/>
        <w:rPr>
          <w:rFonts w:asciiTheme="minorHAnsi" w:hAnsiTheme="minorHAnsi" w:cstheme="minorHAnsi"/>
          <w:b/>
        </w:rPr>
      </w:pPr>
      <w:r>
        <w:rPr>
          <w:rFonts w:asciiTheme="minorHAnsi" w:hAnsiTheme="minorHAnsi" w:cstheme="minorHAnsi"/>
          <w:b/>
        </w:rPr>
        <w:t xml:space="preserve">Risultanze residui passivi: </w:t>
      </w:r>
    </w:p>
    <w:p w:rsidR="00552F7C" w:rsidRDefault="00FD4F24">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Residui passivi conservati (compreso il titolo 7) euro </w:t>
      </w:r>
      <w:r w:rsidR="009440BA">
        <w:rPr>
          <w:rFonts w:asciiTheme="minorHAnsi" w:hAnsiTheme="minorHAnsi" w:cstheme="minorHAnsi"/>
        </w:rPr>
        <w:t xml:space="preserve">6.383.037,13 </w:t>
      </w:r>
      <w:r>
        <w:rPr>
          <w:rFonts w:asciiTheme="minorHAnsi" w:hAnsiTheme="minorHAnsi" w:cstheme="minorHAnsi"/>
        </w:rPr>
        <w:t xml:space="preserve">di cui: </w:t>
      </w:r>
    </w:p>
    <w:p w:rsidR="00552F7C" w:rsidRDefault="00FD4F24">
      <w:pPr>
        <w:autoSpaceDE w:val="0"/>
        <w:autoSpaceDN w:val="0"/>
        <w:adjustRightInd w:val="0"/>
        <w:spacing w:after="22" w:line="360" w:lineRule="auto"/>
        <w:jc w:val="both"/>
        <w:rPr>
          <w:rFonts w:asciiTheme="minorHAnsi" w:hAnsiTheme="minorHAnsi" w:cstheme="minorHAnsi"/>
        </w:rPr>
      </w:pPr>
      <w:r>
        <w:rPr>
          <w:rFonts w:asciiTheme="minorHAnsi" w:hAnsiTheme="minorHAnsi" w:cstheme="minorHAnsi"/>
        </w:rPr>
        <w:t xml:space="preserve">▪ euro </w:t>
      </w:r>
      <w:r w:rsidR="009440BA">
        <w:rPr>
          <w:rFonts w:asciiTheme="minorHAnsi" w:hAnsiTheme="minorHAnsi" w:cstheme="minorHAnsi"/>
        </w:rPr>
        <w:t>1.305.442,16</w:t>
      </w:r>
      <w:r>
        <w:rPr>
          <w:rFonts w:asciiTheme="minorHAnsi" w:hAnsiTheme="minorHAnsi" w:cstheme="minorHAnsi"/>
        </w:rPr>
        <w:t xml:space="preserve"> da gestione residui; </w:t>
      </w:r>
    </w:p>
    <w:p w:rsidR="00552F7C" w:rsidRDefault="00FD4F24" w:rsidP="00852CE7">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 euro </w:t>
      </w:r>
      <w:r w:rsidR="009440BA">
        <w:rPr>
          <w:rFonts w:asciiTheme="minorHAnsi" w:hAnsiTheme="minorHAnsi" w:cstheme="minorHAnsi"/>
        </w:rPr>
        <w:t>5.077.594,97</w:t>
      </w:r>
      <w:r>
        <w:rPr>
          <w:rFonts w:asciiTheme="minorHAnsi" w:hAnsiTheme="minorHAnsi" w:cstheme="minorHAnsi"/>
        </w:rPr>
        <w:t xml:space="preserve"> da gestione competenza 201</w:t>
      </w:r>
      <w:r w:rsidR="00ED0821">
        <w:rPr>
          <w:rFonts w:asciiTheme="minorHAnsi" w:hAnsiTheme="minorHAnsi" w:cstheme="minorHAnsi"/>
        </w:rPr>
        <w:t>9</w:t>
      </w:r>
      <w:r>
        <w:rPr>
          <w:rFonts w:asciiTheme="minorHAnsi" w:hAnsiTheme="minorHAnsi" w:cstheme="minorHAnsi"/>
        </w:rPr>
        <w:t xml:space="preserve">. </w:t>
      </w:r>
    </w:p>
    <w:p w:rsidR="00852CE7" w:rsidRDefault="00852CE7" w:rsidP="00852CE7">
      <w:pPr>
        <w:autoSpaceDE w:val="0"/>
        <w:autoSpaceDN w:val="0"/>
        <w:adjustRightInd w:val="0"/>
        <w:spacing w:after="0" w:line="360" w:lineRule="auto"/>
        <w:jc w:val="both"/>
        <w:rPr>
          <w:rFonts w:asciiTheme="minorHAnsi" w:hAnsiTheme="minorHAnsi" w:cstheme="minorHAnsi"/>
          <w:lang w:eastAsia="it-IT"/>
        </w:rPr>
      </w:pPr>
    </w:p>
    <w:p w:rsidR="00552F7C" w:rsidRDefault="00852CE7">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9</w:t>
      </w:r>
      <w:r w:rsidR="00FD4F24">
        <w:rPr>
          <w:rFonts w:asciiTheme="minorHAnsi" w:hAnsiTheme="minorHAnsi" w:cstheme="minorHAnsi"/>
          <w:b/>
        </w:rPr>
        <w:t>. VETUSTA’ DEI RESIDUI ATTIVI</w:t>
      </w:r>
    </w:p>
    <w:p w:rsidR="00552F7C" w:rsidRDefault="00FD4F24">
      <w:pPr>
        <w:jc w:val="both"/>
        <w:rPr>
          <w:rFonts w:asciiTheme="minorHAnsi" w:hAnsiTheme="minorHAnsi" w:cstheme="minorHAnsi"/>
        </w:rPr>
      </w:pPr>
      <w:r>
        <w:rPr>
          <w:rFonts w:asciiTheme="minorHAnsi" w:hAnsiTheme="minorHAnsi" w:cstheme="minorHAnsi"/>
        </w:rPr>
        <w:t>I residui attivi risultanti dopo il riaccertamento classificati secondo l’esercizio di derivazione sono così dettagliati:</w:t>
      </w:r>
    </w:p>
    <w:bookmarkStart w:id="15" w:name="_MON_1615644247"/>
    <w:bookmarkEnd w:id="15"/>
    <w:p w:rsidR="00552F7C" w:rsidRDefault="00E77969">
      <w:pPr>
        <w:jc w:val="center"/>
        <w:rPr>
          <w:rFonts w:asciiTheme="minorHAnsi" w:hAnsiTheme="minorHAnsi" w:cstheme="minorHAnsi"/>
        </w:rPr>
      </w:pPr>
      <w:r w:rsidRPr="002139DC">
        <w:rPr>
          <w:rFonts w:asciiTheme="minorHAnsi" w:hAnsiTheme="minorHAnsi" w:cstheme="minorHAnsi"/>
        </w:rPr>
        <w:object w:dxaOrig="9648" w:dyaOrig="5021">
          <v:shape id="_x0000_i1034" type="#_x0000_t75" style="width:482.25pt;height:252pt" o:ole="">
            <v:imagedata r:id="rId33" o:title=""/>
          </v:shape>
          <o:OLEObject Type="Embed" ProgID="Excel.Sheet.12" ShapeID="_x0000_i1034" DrawAspect="Content" ObjectID="_1645951304" r:id="rId34"/>
        </w:object>
      </w:r>
    </w:p>
    <w:p w:rsidR="00552F7C" w:rsidRDefault="00552F7C">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322543" w:rsidRDefault="00322543">
      <w:pPr>
        <w:spacing w:after="0" w:line="240" w:lineRule="auto"/>
        <w:rPr>
          <w:rFonts w:asciiTheme="minorHAnsi" w:hAnsiTheme="minorHAnsi" w:cstheme="minorHAnsi"/>
          <w:b/>
        </w:rPr>
      </w:pP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1</w:t>
      </w:r>
      <w:r w:rsidR="00852CE7">
        <w:rPr>
          <w:rFonts w:asciiTheme="minorHAnsi" w:hAnsiTheme="minorHAnsi" w:cstheme="minorHAnsi"/>
          <w:b/>
        </w:rPr>
        <w:t>0</w:t>
      </w:r>
      <w:r>
        <w:rPr>
          <w:rFonts w:asciiTheme="minorHAnsi" w:hAnsiTheme="minorHAnsi" w:cstheme="minorHAnsi"/>
          <w:b/>
        </w:rPr>
        <w:t>. VETUSTA’ DEI RESIDUI PASSIVI</w:t>
      </w:r>
    </w:p>
    <w:p w:rsidR="00552F7C" w:rsidRDefault="00FD4F24">
      <w:pPr>
        <w:jc w:val="both"/>
        <w:rPr>
          <w:rFonts w:asciiTheme="minorHAnsi" w:hAnsiTheme="minorHAnsi" w:cstheme="minorHAnsi"/>
        </w:rPr>
      </w:pPr>
      <w:r>
        <w:rPr>
          <w:rFonts w:asciiTheme="minorHAnsi" w:hAnsiTheme="minorHAnsi" w:cstheme="minorHAnsi"/>
        </w:rPr>
        <w:t>I residui passivi risultanti dopo il riaccertamento classificati secondo l’esercizio di derivazione sono così dettagliati:</w:t>
      </w:r>
    </w:p>
    <w:bookmarkStart w:id="16" w:name="_MON_1615698970"/>
    <w:bookmarkEnd w:id="16"/>
    <w:p w:rsidR="00552F7C" w:rsidRDefault="006D2692">
      <w:pPr>
        <w:jc w:val="center"/>
        <w:rPr>
          <w:rFonts w:asciiTheme="minorHAnsi" w:hAnsiTheme="minorHAnsi" w:cstheme="minorHAnsi"/>
          <w:b/>
        </w:rPr>
      </w:pPr>
      <w:r w:rsidRPr="002139DC">
        <w:rPr>
          <w:rFonts w:asciiTheme="minorHAnsi" w:hAnsiTheme="minorHAnsi" w:cstheme="minorHAnsi"/>
          <w:b/>
        </w:rPr>
        <w:object w:dxaOrig="10907" w:dyaOrig="4658">
          <v:shape id="_x0000_i1035" type="#_x0000_t75" style="width:546.75pt;height:232.5pt" o:ole="">
            <v:imagedata r:id="rId35" o:title=""/>
          </v:shape>
          <o:OLEObject Type="Embed" ProgID="Excel.Sheet.12" ShapeID="_x0000_i1035" DrawAspect="Content" ObjectID="_1645951305" r:id="rId36"/>
        </w:object>
      </w:r>
    </w:p>
    <w:p w:rsidR="00552F7C" w:rsidRDefault="00FD4F24">
      <w:pPr>
        <w:spacing w:after="160" w:line="259" w:lineRule="auto"/>
        <w:rPr>
          <w:rFonts w:asciiTheme="minorHAnsi" w:hAnsiTheme="minorHAnsi" w:cstheme="minorHAnsi"/>
          <w:b/>
        </w:rPr>
      </w:pPr>
      <w:r>
        <w:rPr>
          <w:rFonts w:asciiTheme="minorHAnsi" w:hAnsiTheme="minorHAnsi" w:cstheme="minorHAnsi"/>
          <w:b/>
        </w:rPr>
        <w:br w:type="page"/>
      </w:r>
    </w:p>
    <w:p w:rsidR="00552F7C" w:rsidRDefault="00552F7C">
      <w:pPr>
        <w:jc w:val="both"/>
        <w:rPr>
          <w:rFonts w:asciiTheme="minorHAnsi" w:hAnsiTheme="minorHAnsi" w:cstheme="minorHAnsi"/>
          <w:b/>
        </w:rPr>
      </w:pPr>
    </w:p>
    <w:p w:rsidR="00552F7C" w:rsidRDefault="00FD4F2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rPr>
      </w:pPr>
      <w:r>
        <w:rPr>
          <w:rFonts w:asciiTheme="minorHAnsi" w:hAnsiTheme="minorHAnsi" w:cstheme="minorHAnsi"/>
          <w:b/>
        </w:rPr>
        <w:t>1</w:t>
      </w:r>
      <w:r w:rsidR="00852CE7">
        <w:rPr>
          <w:rFonts w:asciiTheme="minorHAnsi" w:hAnsiTheme="minorHAnsi" w:cstheme="minorHAnsi"/>
          <w:b/>
        </w:rPr>
        <w:t>1</w:t>
      </w:r>
      <w:r>
        <w:rPr>
          <w:rFonts w:asciiTheme="minorHAnsi" w:hAnsiTheme="minorHAnsi" w:cstheme="minorHAnsi"/>
          <w:b/>
        </w:rPr>
        <w:t>. ADEGUATA MOTIVAZIONE</w:t>
      </w:r>
    </w:p>
    <w:p w:rsidR="00552F7C" w:rsidRDefault="00FD4F24">
      <w:pPr>
        <w:jc w:val="center"/>
        <w:rPr>
          <w:rFonts w:asciiTheme="minorHAnsi" w:hAnsiTheme="minorHAnsi" w:cstheme="minorHAnsi"/>
          <w:b/>
          <w:bCs/>
        </w:rPr>
      </w:pPr>
      <w:r>
        <w:rPr>
          <w:rFonts w:asciiTheme="minorHAnsi" w:hAnsiTheme="minorHAnsi" w:cstheme="minorHAnsi"/>
          <w:b/>
          <w:bCs/>
        </w:rPr>
        <w:t>CONCLUSIONI</w:t>
      </w:r>
    </w:p>
    <w:p w:rsidR="00CE0DAF" w:rsidRDefault="00CE0DAF">
      <w:pPr>
        <w:jc w:val="both"/>
        <w:rPr>
          <w:rFonts w:asciiTheme="minorHAnsi" w:hAnsiTheme="minorHAnsi" w:cstheme="minorHAnsi"/>
        </w:rPr>
      </w:pPr>
      <w:r>
        <w:rPr>
          <w:rFonts w:asciiTheme="minorHAnsi" w:hAnsiTheme="minorHAnsi" w:cstheme="minorHAnsi"/>
        </w:rPr>
        <w:t>Visti i pareri favorevoli in ordine alla regolarità tecnica e contabile, tenuto conto delle verifiche e delle considerazioni in precedenza illustrate, l’organo di Revisione,</w:t>
      </w:r>
    </w:p>
    <w:p w:rsidR="00CE0DAF" w:rsidRPr="00CE0DAF" w:rsidRDefault="00FD4F24">
      <w:pPr>
        <w:jc w:val="both"/>
        <w:rPr>
          <w:rFonts w:asciiTheme="minorHAnsi" w:hAnsiTheme="minorHAnsi" w:cstheme="minorHAnsi"/>
        </w:rPr>
      </w:pPr>
      <w:r w:rsidRPr="00CE0DAF">
        <w:rPr>
          <w:rFonts w:asciiTheme="minorHAnsi" w:hAnsiTheme="minorHAnsi" w:cstheme="minorHAnsi"/>
        </w:rPr>
        <w:t xml:space="preserve">esprime un </w:t>
      </w:r>
      <w:r w:rsidRPr="00CE0DAF">
        <w:rPr>
          <w:rFonts w:asciiTheme="minorHAnsi" w:hAnsiTheme="minorHAnsi" w:cstheme="minorHAnsi"/>
          <w:b/>
          <w:u w:val="single"/>
        </w:rPr>
        <w:t xml:space="preserve">parere </w:t>
      </w:r>
      <w:r w:rsidR="000404D3" w:rsidRPr="00CE0DAF">
        <w:rPr>
          <w:rFonts w:asciiTheme="minorHAnsi" w:hAnsiTheme="minorHAnsi" w:cstheme="minorHAnsi"/>
          <w:b/>
          <w:u w:val="single"/>
        </w:rPr>
        <w:t>favor</w:t>
      </w:r>
      <w:r w:rsidR="00CE0DAF" w:rsidRPr="00CE0DAF">
        <w:rPr>
          <w:rFonts w:asciiTheme="minorHAnsi" w:hAnsiTheme="minorHAnsi" w:cstheme="minorHAnsi"/>
          <w:b/>
          <w:u w:val="single"/>
        </w:rPr>
        <w:t>evole</w:t>
      </w:r>
      <w:r w:rsidR="00CE0DAF" w:rsidRPr="00CE0DAF">
        <w:rPr>
          <w:rFonts w:asciiTheme="minorHAnsi" w:hAnsiTheme="minorHAnsi" w:cstheme="minorHAnsi"/>
        </w:rPr>
        <w:t xml:space="preserve"> alla proposta di cui all’oggetto ed invita l’ente, come stabilito dal principio contabile applicato 4/2 a trasmettere l’atto di accertamento dei residui al Tesoriere.</w:t>
      </w:r>
    </w:p>
    <w:p w:rsidR="00CE0DAF" w:rsidRPr="00CE0DAF" w:rsidRDefault="00CE0DAF">
      <w:pPr>
        <w:jc w:val="both"/>
        <w:rPr>
          <w:rFonts w:asciiTheme="minorHAnsi" w:hAnsiTheme="minorHAnsi" w:cstheme="minorHAnsi"/>
        </w:rPr>
      </w:pPr>
      <w:r w:rsidRPr="00CE0DAF">
        <w:rPr>
          <w:rFonts w:asciiTheme="minorHAnsi" w:hAnsiTheme="minorHAnsi" w:cstheme="minorHAnsi"/>
        </w:rPr>
        <w:t>Il presente verbale viene letto, confermato e sottoscritto.</w:t>
      </w:r>
    </w:p>
    <w:p w:rsidR="000404D3" w:rsidRDefault="000404D3">
      <w:pPr>
        <w:jc w:val="both"/>
        <w:rPr>
          <w:rFonts w:asciiTheme="minorHAnsi" w:hAnsiTheme="minorHAnsi" w:cstheme="minorHAnsi"/>
          <w:b/>
        </w:rPr>
      </w:pPr>
    </w:p>
    <w:p w:rsidR="00552F7C" w:rsidRDefault="00FD4F24" w:rsidP="00CE0DAF">
      <w:pPr>
        <w:rPr>
          <w:rFonts w:asciiTheme="minorHAnsi" w:hAnsiTheme="minorHAnsi" w:cstheme="minorHAnsi"/>
        </w:rPr>
      </w:pPr>
      <w:r>
        <w:rPr>
          <w:rFonts w:asciiTheme="minorHAnsi" w:hAnsiTheme="minorHAnsi" w:cstheme="minorHAnsi"/>
        </w:rPr>
        <w:t>L’Organo di Revisione</w:t>
      </w:r>
    </w:p>
    <w:p w:rsidR="00CE0DAF" w:rsidRDefault="00CE0DAF" w:rsidP="00CE0DAF">
      <w:pPr>
        <w:pStyle w:val="Paragrafoelenco"/>
        <w:numPr>
          <w:ilvl w:val="0"/>
          <w:numId w:val="8"/>
        </w:numPr>
        <w:jc w:val="both"/>
      </w:pPr>
      <w:r>
        <w:t>Rag. Guido Calì – Presidente</w:t>
      </w:r>
      <w:r w:rsidR="00AD5539">
        <w:t xml:space="preserve">                        ________________________</w:t>
      </w:r>
    </w:p>
    <w:p w:rsidR="00CE0DAF" w:rsidRDefault="00CE0DAF" w:rsidP="00CE0DAF">
      <w:pPr>
        <w:pStyle w:val="Paragrafoelenco"/>
        <w:numPr>
          <w:ilvl w:val="0"/>
          <w:numId w:val="8"/>
        </w:numPr>
        <w:jc w:val="both"/>
      </w:pPr>
      <w:r>
        <w:t>Dott. Gian Luca Zicca – Componente</w:t>
      </w:r>
      <w:r w:rsidR="00AD5539">
        <w:t xml:space="preserve">         ________________________</w:t>
      </w:r>
    </w:p>
    <w:p w:rsidR="00CE0DAF" w:rsidRDefault="00CE0DAF" w:rsidP="00CE0DAF">
      <w:pPr>
        <w:pStyle w:val="Paragrafoelenco"/>
        <w:numPr>
          <w:ilvl w:val="0"/>
          <w:numId w:val="8"/>
        </w:numPr>
        <w:jc w:val="both"/>
      </w:pPr>
      <w:r>
        <w:t>Dott.ssa Monia Ibba – Componente</w:t>
      </w:r>
      <w:r w:rsidR="00AD5539">
        <w:t xml:space="preserve">          ________________________</w:t>
      </w:r>
    </w:p>
    <w:p w:rsidR="00552F7C" w:rsidRDefault="00552F7C"/>
    <w:sectPr w:rsidR="00552F7C" w:rsidSect="00B6001D">
      <w:footerReference w:type="default" r:id="rId37"/>
      <w:pgSz w:w="11906" w:h="16838"/>
      <w:pgMar w:top="1417" w:right="99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B80" w:rsidRDefault="00AE6B80">
      <w:pPr>
        <w:spacing w:after="0" w:line="240" w:lineRule="auto"/>
      </w:pPr>
      <w:r>
        <w:separator/>
      </w:r>
    </w:p>
  </w:endnote>
  <w:endnote w:type="continuationSeparator" w:id="1">
    <w:p w:rsidR="00AE6B80" w:rsidRDefault="00AE6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cs="Calibri"/>
        <w:sz w:val="22"/>
        <w:szCs w:val="22"/>
      </w:rPr>
      <w:id w:val="-1336603299"/>
      <w:docPartObj>
        <w:docPartGallery w:val="Page Numbers (Bottom of Page)"/>
        <w:docPartUnique/>
      </w:docPartObj>
    </w:sdtPr>
    <w:sdtEndPr>
      <w:rPr>
        <w:sz w:val="16"/>
        <w:szCs w:val="16"/>
      </w:rPr>
    </w:sdtEndPr>
    <w:sdtContent>
      <w:p w:rsidR="00552F7C" w:rsidRDefault="00FD4F24">
        <w:pPr>
          <w:pStyle w:val="Pidipagina"/>
        </w:pPr>
        <w:r>
          <w:t>________________________________________________________________________________________________</w:t>
        </w:r>
      </w:p>
      <w:p w:rsidR="00552F7C" w:rsidRDefault="00FD4F24">
        <w:pPr>
          <w:pStyle w:val="Pidipagina"/>
          <w:rPr>
            <w:sz w:val="16"/>
            <w:szCs w:val="16"/>
          </w:rPr>
        </w:pPr>
        <w:r>
          <w:rPr>
            <w:sz w:val="16"/>
            <w:szCs w:val="16"/>
          </w:rPr>
          <w:t>Parere dell’organo di revisione sul riaccertamento ordinario dei residui del Comune di</w:t>
        </w:r>
        <w:r w:rsidR="00BD6749">
          <w:rPr>
            <w:sz w:val="16"/>
            <w:szCs w:val="16"/>
          </w:rPr>
          <w:t xml:space="preserve"> Selargius</w:t>
        </w:r>
        <w:r>
          <w:rPr>
            <w:sz w:val="16"/>
            <w:szCs w:val="16"/>
          </w:rPr>
          <w:tab/>
        </w:r>
        <w:r>
          <w:rPr>
            <w:sz w:val="16"/>
            <w:szCs w:val="16"/>
          </w:rPr>
          <w:tab/>
        </w:r>
        <w:r w:rsidR="00066AFE">
          <w:rPr>
            <w:sz w:val="16"/>
            <w:szCs w:val="16"/>
          </w:rPr>
          <w:fldChar w:fldCharType="begin"/>
        </w:r>
        <w:r>
          <w:rPr>
            <w:sz w:val="16"/>
            <w:szCs w:val="16"/>
          </w:rPr>
          <w:instrText>PAGE   \* MERGEFORMAT</w:instrText>
        </w:r>
        <w:r w:rsidR="00066AFE">
          <w:rPr>
            <w:sz w:val="16"/>
            <w:szCs w:val="16"/>
          </w:rPr>
          <w:fldChar w:fldCharType="separate"/>
        </w:r>
        <w:r w:rsidR="0016565F">
          <w:rPr>
            <w:noProof/>
            <w:sz w:val="16"/>
            <w:szCs w:val="16"/>
          </w:rPr>
          <w:t>2</w:t>
        </w:r>
        <w:r w:rsidR="00066AFE">
          <w:rPr>
            <w:sz w:val="16"/>
            <w:szCs w:val="16"/>
          </w:rPr>
          <w:fldChar w:fldCharType="end"/>
        </w:r>
      </w:p>
      <w:p w:rsidR="00552F7C" w:rsidRDefault="00066AFE">
        <w:pPr>
          <w:rPr>
            <w:sz w:val="16"/>
            <w:szCs w:val="16"/>
          </w:rPr>
        </w:pPr>
      </w:p>
    </w:sdtContent>
  </w:sdt>
  <w:p w:rsidR="00552F7C" w:rsidRDefault="00552F7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B80" w:rsidRDefault="00AE6B80">
      <w:pPr>
        <w:spacing w:after="0" w:line="240" w:lineRule="auto"/>
      </w:pPr>
      <w:r>
        <w:separator/>
      </w:r>
    </w:p>
  </w:footnote>
  <w:footnote w:type="continuationSeparator" w:id="1">
    <w:p w:rsidR="00AE6B80" w:rsidRDefault="00AE6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93B"/>
    <w:multiLevelType w:val="hybridMultilevel"/>
    <w:tmpl w:val="1C287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2A7CF9"/>
    <w:multiLevelType w:val="hybridMultilevel"/>
    <w:tmpl w:val="C5361D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802C30"/>
    <w:multiLevelType w:val="hybridMultilevel"/>
    <w:tmpl w:val="66AAFAEE"/>
    <w:lvl w:ilvl="0" w:tplc="6BC6E3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D3F6A"/>
    <w:multiLevelType w:val="hybridMultilevel"/>
    <w:tmpl w:val="2EC47F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7833ED"/>
    <w:multiLevelType w:val="hybridMultilevel"/>
    <w:tmpl w:val="7B920D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E64718"/>
    <w:multiLevelType w:val="hybridMultilevel"/>
    <w:tmpl w:val="0B96D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E4616E"/>
    <w:multiLevelType w:val="hybridMultilevel"/>
    <w:tmpl w:val="FCD6326C"/>
    <w:lvl w:ilvl="0" w:tplc="04100017">
      <w:start w:val="1"/>
      <w:numFmt w:val="lowerLetter"/>
      <w:lvlText w:val="%1)"/>
      <w:lvlJc w:val="left"/>
      <w:pPr>
        <w:ind w:left="720" w:hanging="360"/>
      </w:pPr>
    </w:lvl>
    <w:lvl w:ilvl="1" w:tplc="2384DC60">
      <w:numFmt w:val="bullet"/>
      <w:lvlText w:val="-"/>
      <w:lvlJc w:val="left"/>
      <w:pPr>
        <w:ind w:left="1440" w:hanging="360"/>
      </w:pPr>
      <w:rPr>
        <w:rFonts w:ascii="Calibri" w:eastAsia="Calibri" w:hAnsi="Calibri" w:cs="Calibri"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8406D5"/>
    <w:multiLevelType w:val="hybridMultilevel"/>
    <w:tmpl w:val="48E61628"/>
    <w:lvl w:ilvl="0" w:tplc="04100017">
      <w:start w:val="1"/>
      <w:numFmt w:val="lowerLetter"/>
      <w:lvlText w:val="%1)"/>
      <w:lvlJc w:val="left"/>
      <w:pPr>
        <w:ind w:left="720" w:hanging="360"/>
      </w:pPr>
    </w:lvl>
    <w:lvl w:ilvl="1" w:tplc="2384DC60">
      <w:numFmt w:val="bullet"/>
      <w:lvlText w:val="-"/>
      <w:lvlJc w:val="left"/>
      <w:pPr>
        <w:ind w:left="1440" w:hanging="360"/>
      </w:pPr>
      <w:rPr>
        <w:rFonts w:ascii="Calibri" w:eastAsia="Calibri" w:hAnsi="Calibri" w:cs="Calibri"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635C79"/>
    <w:multiLevelType w:val="hybridMultilevel"/>
    <w:tmpl w:val="9B44F534"/>
    <w:lvl w:ilvl="0" w:tplc="C5944B3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5A623462"/>
    <w:multiLevelType w:val="hybridMultilevel"/>
    <w:tmpl w:val="E18AF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7"/>
  </w:num>
  <w:num w:numId="6">
    <w:abstractNumId w:val="9"/>
  </w:num>
  <w:num w:numId="7">
    <w:abstractNumId w:val="6"/>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6322"/>
  </w:hdrShapeDefaults>
  <w:footnotePr>
    <w:footnote w:id="0"/>
    <w:footnote w:id="1"/>
  </w:footnotePr>
  <w:endnotePr>
    <w:endnote w:id="0"/>
    <w:endnote w:id="1"/>
  </w:endnotePr>
  <w:compat/>
  <w:rsids>
    <w:rsidRoot w:val="00552F7C"/>
    <w:rsid w:val="0000310C"/>
    <w:rsid w:val="00027C63"/>
    <w:rsid w:val="000404D3"/>
    <w:rsid w:val="00057C17"/>
    <w:rsid w:val="000618CC"/>
    <w:rsid w:val="00061B25"/>
    <w:rsid w:val="00066AFE"/>
    <w:rsid w:val="000B3E6B"/>
    <w:rsid w:val="000F424E"/>
    <w:rsid w:val="000F53F6"/>
    <w:rsid w:val="001247A0"/>
    <w:rsid w:val="001340F0"/>
    <w:rsid w:val="00136C6F"/>
    <w:rsid w:val="00152CCD"/>
    <w:rsid w:val="0016419F"/>
    <w:rsid w:val="0016565F"/>
    <w:rsid w:val="00165FB1"/>
    <w:rsid w:val="00184DF4"/>
    <w:rsid w:val="001A43B5"/>
    <w:rsid w:val="001A57E6"/>
    <w:rsid w:val="001B659D"/>
    <w:rsid w:val="001B712A"/>
    <w:rsid w:val="001D0F4F"/>
    <w:rsid w:val="001F0A1F"/>
    <w:rsid w:val="00203E01"/>
    <w:rsid w:val="002139DC"/>
    <w:rsid w:val="00215FEE"/>
    <w:rsid w:val="0022012B"/>
    <w:rsid w:val="00235D91"/>
    <w:rsid w:val="00237FCA"/>
    <w:rsid w:val="00271442"/>
    <w:rsid w:val="00290D1B"/>
    <w:rsid w:val="002B61BA"/>
    <w:rsid w:val="002C6BDA"/>
    <w:rsid w:val="002D11AD"/>
    <w:rsid w:val="002F7D01"/>
    <w:rsid w:val="0030742B"/>
    <w:rsid w:val="003078EF"/>
    <w:rsid w:val="00322543"/>
    <w:rsid w:val="00330C51"/>
    <w:rsid w:val="00352AD8"/>
    <w:rsid w:val="003B0DF2"/>
    <w:rsid w:val="003C0A43"/>
    <w:rsid w:val="003C66E6"/>
    <w:rsid w:val="003C775F"/>
    <w:rsid w:val="003D2C4B"/>
    <w:rsid w:val="003E02FD"/>
    <w:rsid w:val="00411D46"/>
    <w:rsid w:val="00422A39"/>
    <w:rsid w:val="00441DC3"/>
    <w:rsid w:val="00464F83"/>
    <w:rsid w:val="00466EA8"/>
    <w:rsid w:val="004B2537"/>
    <w:rsid w:val="004E0AEE"/>
    <w:rsid w:val="005166F9"/>
    <w:rsid w:val="005409DF"/>
    <w:rsid w:val="00552F7C"/>
    <w:rsid w:val="00563A87"/>
    <w:rsid w:val="005B5D28"/>
    <w:rsid w:val="005D0520"/>
    <w:rsid w:val="005D78AF"/>
    <w:rsid w:val="005E28D1"/>
    <w:rsid w:val="00611C3D"/>
    <w:rsid w:val="006243C2"/>
    <w:rsid w:val="006652B6"/>
    <w:rsid w:val="00666FA7"/>
    <w:rsid w:val="006D2692"/>
    <w:rsid w:val="006E1312"/>
    <w:rsid w:val="0071166C"/>
    <w:rsid w:val="00711A1E"/>
    <w:rsid w:val="00731A99"/>
    <w:rsid w:val="00733DE5"/>
    <w:rsid w:val="00770215"/>
    <w:rsid w:val="00796509"/>
    <w:rsid w:val="007A23F0"/>
    <w:rsid w:val="007B02CB"/>
    <w:rsid w:val="007C7E58"/>
    <w:rsid w:val="007D1FC9"/>
    <w:rsid w:val="007E6180"/>
    <w:rsid w:val="00802C9F"/>
    <w:rsid w:val="00813FFA"/>
    <w:rsid w:val="008217B3"/>
    <w:rsid w:val="008359E2"/>
    <w:rsid w:val="00852CE7"/>
    <w:rsid w:val="0089591A"/>
    <w:rsid w:val="008B12A2"/>
    <w:rsid w:val="008B2258"/>
    <w:rsid w:val="008C3CB2"/>
    <w:rsid w:val="009118C8"/>
    <w:rsid w:val="00913BDC"/>
    <w:rsid w:val="009323AF"/>
    <w:rsid w:val="00936E3E"/>
    <w:rsid w:val="009440BA"/>
    <w:rsid w:val="00944C5F"/>
    <w:rsid w:val="00971B64"/>
    <w:rsid w:val="00990CC2"/>
    <w:rsid w:val="00992781"/>
    <w:rsid w:val="009B38B2"/>
    <w:rsid w:val="009E2B8D"/>
    <w:rsid w:val="00A04FB2"/>
    <w:rsid w:val="00A15C65"/>
    <w:rsid w:val="00A77976"/>
    <w:rsid w:val="00AD5539"/>
    <w:rsid w:val="00AE562D"/>
    <w:rsid w:val="00AE6B80"/>
    <w:rsid w:val="00AF143A"/>
    <w:rsid w:val="00B000B8"/>
    <w:rsid w:val="00B149F1"/>
    <w:rsid w:val="00B32A8B"/>
    <w:rsid w:val="00B34CCF"/>
    <w:rsid w:val="00B35D5E"/>
    <w:rsid w:val="00B45287"/>
    <w:rsid w:val="00B6001D"/>
    <w:rsid w:val="00B9179F"/>
    <w:rsid w:val="00BD5411"/>
    <w:rsid w:val="00BD58A7"/>
    <w:rsid w:val="00BD6749"/>
    <w:rsid w:val="00BF5388"/>
    <w:rsid w:val="00C007CC"/>
    <w:rsid w:val="00C02B58"/>
    <w:rsid w:val="00C44DFB"/>
    <w:rsid w:val="00CD04CD"/>
    <w:rsid w:val="00CE0049"/>
    <w:rsid w:val="00CE0DAF"/>
    <w:rsid w:val="00CE0DF3"/>
    <w:rsid w:val="00CE4710"/>
    <w:rsid w:val="00D10A2D"/>
    <w:rsid w:val="00D10D79"/>
    <w:rsid w:val="00D17BD0"/>
    <w:rsid w:val="00D24B3E"/>
    <w:rsid w:val="00D2566A"/>
    <w:rsid w:val="00D56918"/>
    <w:rsid w:val="00D76CCC"/>
    <w:rsid w:val="00D9313A"/>
    <w:rsid w:val="00DB0004"/>
    <w:rsid w:val="00DC2279"/>
    <w:rsid w:val="00DC259B"/>
    <w:rsid w:val="00DD2675"/>
    <w:rsid w:val="00DD2D94"/>
    <w:rsid w:val="00DE6FC8"/>
    <w:rsid w:val="00E104C4"/>
    <w:rsid w:val="00E14289"/>
    <w:rsid w:val="00E16C73"/>
    <w:rsid w:val="00E21B7F"/>
    <w:rsid w:val="00E3766A"/>
    <w:rsid w:val="00E462BA"/>
    <w:rsid w:val="00E5495A"/>
    <w:rsid w:val="00E63773"/>
    <w:rsid w:val="00E7082C"/>
    <w:rsid w:val="00E77969"/>
    <w:rsid w:val="00E82DC1"/>
    <w:rsid w:val="00E971A2"/>
    <w:rsid w:val="00E97742"/>
    <w:rsid w:val="00EA098C"/>
    <w:rsid w:val="00EA5BCC"/>
    <w:rsid w:val="00ED0821"/>
    <w:rsid w:val="00F05CA4"/>
    <w:rsid w:val="00F1143A"/>
    <w:rsid w:val="00F15BAA"/>
    <w:rsid w:val="00F301C4"/>
    <w:rsid w:val="00F31ABC"/>
    <w:rsid w:val="00F36E0C"/>
    <w:rsid w:val="00F512AF"/>
    <w:rsid w:val="00F5402C"/>
    <w:rsid w:val="00F6117F"/>
    <w:rsid w:val="00F62F20"/>
    <w:rsid w:val="00F70469"/>
    <w:rsid w:val="00F9339F"/>
    <w:rsid w:val="00F93BBF"/>
    <w:rsid w:val="00FB4D1F"/>
    <w:rsid w:val="00FD173B"/>
    <w:rsid w:val="00FD4EFE"/>
    <w:rsid w:val="00FD4F24"/>
    <w:rsid w:val="00FF44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9DC"/>
    <w:pPr>
      <w:spacing w:after="200" w:line="276" w:lineRule="auto"/>
    </w:pPr>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139DC"/>
    <w:pPr>
      <w:autoSpaceDE w:val="0"/>
      <w:autoSpaceDN w:val="0"/>
      <w:adjustRightInd w:val="0"/>
      <w:spacing w:after="0" w:line="240" w:lineRule="auto"/>
    </w:pPr>
    <w:rPr>
      <w:rFonts w:ascii="Arial" w:eastAsia="Times New Roman" w:hAnsi="Arial" w:cs="Arial"/>
      <w:color w:val="000000"/>
      <w:sz w:val="24"/>
      <w:szCs w:val="24"/>
    </w:rPr>
  </w:style>
  <w:style w:type="paragraph" w:styleId="Pidipagina">
    <w:name w:val="footer"/>
    <w:basedOn w:val="Normale"/>
    <w:link w:val="PidipaginaCarattere"/>
    <w:uiPriority w:val="99"/>
    <w:rsid w:val="002139DC"/>
    <w:pPr>
      <w:tabs>
        <w:tab w:val="center" w:pos="4819"/>
        <w:tab w:val="right" w:pos="9638"/>
      </w:tabs>
      <w:spacing w:after="0" w:line="240" w:lineRule="auto"/>
    </w:pPr>
    <w:rPr>
      <w:rFonts w:ascii="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2139DC"/>
    <w:rPr>
      <w:rFonts w:ascii="Times New Roman" w:eastAsia="Times New Roman" w:hAnsi="Times New Roman" w:cs="Times New Roman"/>
      <w:sz w:val="20"/>
      <w:szCs w:val="20"/>
    </w:rPr>
  </w:style>
  <w:style w:type="table" w:styleId="Grigliatabella">
    <w:name w:val="Table Grid"/>
    <w:basedOn w:val="Tabellanormale"/>
    <w:uiPriority w:val="59"/>
    <w:rsid w:val="002139DC"/>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139DC"/>
    <w:pPr>
      <w:ind w:left="720"/>
      <w:contextualSpacing/>
    </w:pPr>
  </w:style>
  <w:style w:type="paragraph" w:styleId="Intestazione">
    <w:name w:val="header"/>
    <w:basedOn w:val="Normale"/>
    <w:link w:val="IntestazioneCarattere"/>
    <w:uiPriority w:val="99"/>
    <w:unhideWhenUsed/>
    <w:rsid w:val="002139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9DC"/>
    <w:rPr>
      <w:rFonts w:ascii="Calibri" w:eastAsia="Times New Roman" w:hAnsi="Calibri" w:cs="Calibri"/>
    </w:rPr>
  </w:style>
  <w:style w:type="paragraph" w:styleId="Titolo">
    <w:name w:val="Title"/>
    <w:basedOn w:val="Normale"/>
    <w:link w:val="TitoloCarattere"/>
    <w:qFormat/>
    <w:rsid w:val="002139DC"/>
    <w:pPr>
      <w:spacing w:after="360" w:line="240" w:lineRule="auto"/>
      <w:jc w:val="center"/>
    </w:pPr>
    <w:rPr>
      <w:rFonts w:ascii="Arial" w:hAnsi="Arial" w:cs="Times New Roman"/>
      <w:b/>
      <w:i/>
      <w:sz w:val="36"/>
      <w:szCs w:val="24"/>
    </w:rPr>
  </w:style>
  <w:style w:type="character" w:customStyle="1" w:styleId="TitoloCarattere">
    <w:name w:val="Titolo Carattere"/>
    <w:basedOn w:val="Carpredefinitoparagrafo"/>
    <w:link w:val="Titolo"/>
    <w:rsid w:val="002139DC"/>
    <w:rPr>
      <w:rFonts w:ascii="Arial" w:eastAsia="Times New Roman" w:hAnsi="Arial" w:cs="Times New Roman"/>
      <w:b/>
      <w:i/>
      <w:sz w:val="36"/>
      <w:szCs w:val="24"/>
    </w:rPr>
  </w:style>
  <w:style w:type="paragraph" w:styleId="Testonotaapidipagina">
    <w:name w:val="footnote text"/>
    <w:basedOn w:val="Normale"/>
    <w:link w:val="TestonotaapidipaginaCarattere"/>
    <w:uiPriority w:val="99"/>
    <w:rsid w:val="002139DC"/>
    <w:pPr>
      <w:spacing w:after="0" w:line="240" w:lineRule="auto"/>
    </w:pPr>
    <w:rPr>
      <w:rFonts w:ascii="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139DC"/>
    <w:rPr>
      <w:rFonts w:ascii="Times New Roman" w:eastAsia="Times New Roman" w:hAnsi="Times New Roman" w:cs="Times New Roman"/>
      <w:sz w:val="20"/>
      <w:szCs w:val="20"/>
      <w:lang w:eastAsia="it-IT"/>
    </w:rPr>
  </w:style>
  <w:style w:type="character" w:styleId="Rimandonotaapidipagina">
    <w:name w:val="footnote reference"/>
    <w:uiPriority w:val="99"/>
    <w:rsid w:val="002139DC"/>
    <w:rPr>
      <w:vertAlign w:val="superscript"/>
    </w:rPr>
  </w:style>
  <w:style w:type="paragraph" w:styleId="Testofumetto">
    <w:name w:val="Balloon Text"/>
    <w:basedOn w:val="Normale"/>
    <w:link w:val="TestofumettoCarattere"/>
    <w:uiPriority w:val="99"/>
    <w:semiHidden/>
    <w:unhideWhenUsed/>
    <w:rsid w:val="00213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9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528972">
      <w:bodyDiv w:val="1"/>
      <w:marLeft w:val="0"/>
      <w:marRight w:val="0"/>
      <w:marTop w:val="0"/>
      <w:marBottom w:val="0"/>
      <w:divBdr>
        <w:top w:val="none" w:sz="0" w:space="0" w:color="auto"/>
        <w:left w:val="none" w:sz="0" w:space="0" w:color="auto"/>
        <w:bottom w:val="none" w:sz="0" w:space="0" w:color="auto"/>
        <w:right w:val="none" w:sz="0" w:space="0" w:color="auto"/>
      </w:divBdr>
    </w:div>
    <w:div w:id="1509294384">
      <w:bodyDiv w:val="1"/>
      <w:marLeft w:val="0"/>
      <w:marRight w:val="0"/>
      <w:marTop w:val="0"/>
      <w:marBottom w:val="0"/>
      <w:divBdr>
        <w:top w:val="none" w:sz="0" w:space="0" w:color="auto"/>
        <w:left w:val="none" w:sz="0" w:space="0" w:color="auto"/>
        <w:bottom w:val="none" w:sz="0" w:space="0" w:color="auto"/>
        <w:right w:val="none" w:sz="0" w:space="0" w:color="auto"/>
      </w:divBdr>
    </w:div>
    <w:div w:id="17247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Foglio_di_lavoro_di_Microsoft_Office_Excel5.xlsx"/><Relationship Id="rId26" Type="http://schemas.openxmlformats.org/officeDocument/2006/relationships/package" Target="embeddings/Foglio_di_lavoro_di_Microsoft_Office_Excel9.xlsx"/><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package" Target="embeddings/Foglio_di_lavoro_di_Microsoft_Office_Excel13.xlsx"/><Relationship Id="rId7" Type="http://schemas.openxmlformats.org/officeDocument/2006/relationships/endnotes" Target="endnotes.xml"/><Relationship Id="rId12" Type="http://schemas.openxmlformats.org/officeDocument/2006/relationships/package" Target="embeddings/Foglio_di_lavoro_di_Microsoft_Office_Excel2.xls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Foglio_di_lavoro_di_Microsoft_Office_Excel4.xlsx"/><Relationship Id="rId20" Type="http://schemas.openxmlformats.org/officeDocument/2006/relationships/package" Target="embeddings/Foglio_di_lavoro_di_Microsoft_Office_Excel6.xls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Foglio_di_lavoro_di_Microsoft_Office_Excel8.xlsx"/><Relationship Id="rId32" Type="http://schemas.openxmlformats.org/officeDocument/2006/relationships/package" Target="embeddings/Foglio_di_lavoro_di_Microsoft_Office_Excel12.xlsx"/><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Foglio_di_lavoro_di_Microsoft_Office_Excel10.xlsx"/><Relationship Id="rId36" Type="http://schemas.openxmlformats.org/officeDocument/2006/relationships/package" Target="embeddings/Foglio_di_lavoro_di_Microsoft_Office_Excel14.xlsx"/><Relationship Id="rId10" Type="http://schemas.openxmlformats.org/officeDocument/2006/relationships/package" Target="embeddings/Foglio_di_lavoro_di_Microsoft_Office_Excel1.xlsx"/><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Foglio_di_lavoro_di_Microsoft_Office_Excel3.xlsx"/><Relationship Id="rId22" Type="http://schemas.openxmlformats.org/officeDocument/2006/relationships/package" Target="embeddings/Foglio_di_lavoro_di_Microsoft_Office_Excel7.xlsx"/><Relationship Id="rId27" Type="http://schemas.openxmlformats.org/officeDocument/2006/relationships/image" Target="media/image11.emf"/><Relationship Id="rId30" Type="http://schemas.openxmlformats.org/officeDocument/2006/relationships/package" Target="embeddings/Foglio_di_lavoro_di_Microsoft_Office_Excel11.xlsx"/><Relationship Id="rId35" Type="http://schemas.openxmlformats.org/officeDocument/2006/relationships/image" Target="media/image1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17E6-767E-44DC-BF02-B3507695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2108</Words>
  <Characters>12020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vecchi</dc:creator>
  <cp:lastModifiedBy>GuidoOffice</cp:lastModifiedBy>
  <cp:revision>3</cp:revision>
  <cp:lastPrinted>2020-03-16T12:47:00Z</cp:lastPrinted>
  <dcterms:created xsi:type="dcterms:W3CDTF">2020-03-17T10:51:00Z</dcterms:created>
  <dcterms:modified xsi:type="dcterms:W3CDTF">2020-03-17T10:55:00Z</dcterms:modified>
</cp:coreProperties>
</file>